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6B" w:rsidRDefault="00C95C6B" w:rsidP="003765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Arial" w:eastAsia="Arial" w:hAnsi="Arial" w:cs="Arial"/>
          <w:color w:val="000000"/>
        </w:rPr>
      </w:pPr>
      <w:bookmarkStart w:id="0" w:name="_GoBack"/>
      <w:bookmarkEnd w:id="0"/>
    </w:p>
    <w:tbl>
      <w:tblPr>
        <w:tblStyle w:val="a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C95C6B">
        <w:tc>
          <w:tcPr>
            <w:tcW w:w="9000" w:type="dxa"/>
            <w:shd w:val="clear" w:color="auto" w:fill="D3DFEE"/>
          </w:tcPr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DEO A: INFORMACIJE ZA PODNOSIOCA PONUDE </w:t>
            </w:r>
          </w:p>
        </w:tc>
      </w:tr>
    </w:tbl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000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C95C6B">
        <w:tc>
          <w:tcPr>
            <w:tcW w:w="9000" w:type="dxa"/>
            <w:shd w:val="clear" w:color="auto" w:fill="D3DFEE"/>
          </w:tcPr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Ime i adresa naručioca: Fondacija Novi Sad Evropska prestonica kulture, Trg Slobode 3, Novi Sad</w:t>
            </w:r>
          </w:p>
          <w:p w:rsidR="00C95C6B" w:rsidRDefault="00067916" w:rsidP="00376514">
            <w:pPr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Naziv tendera: Nabavka usluga implementacije obaveznog komunikacijskog paketa za potrebe realizacije projekta Transnacionalni kulturni mozaik: Objedinjujući globalni izrazi ("Transnational Cultural Mosaic: Unifying Global Expressions "- MOSAIC) </w:t>
            </w:r>
          </w:p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Referentni broj:  HUSRB/23R/11/059/P2. 4.6.1</w:t>
            </w:r>
          </w:p>
          <w:p w:rsidR="00C95C6B" w:rsidRDefault="00376514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Datum objavljivanja: 6/02</w:t>
            </w:r>
            <w:r w:rsidR="000679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/2025</w:t>
            </w:r>
          </w:p>
        </w:tc>
      </w:tr>
    </w:tbl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C95C6B" w:rsidRDefault="00067916" w:rsidP="00376514">
      <w:pPr>
        <w:numPr>
          <w:ilvl w:val="0"/>
          <w:numId w:val="5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INFORMACIJE O PODNOŠENJU PONUDA ZA TENDER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Predmet Ugovora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95C6B" w:rsidRDefault="00067916" w:rsidP="00376514">
      <w:pPr>
        <w:tabs>
          <w:tab w:val="left" w:pos="1275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ovog tendera je: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Nabavka usluga implementacije obaveznog komunikacijskog paketa za potrebe realizacije projekta Transnacionalni kulturni mozaik: Objedinjujući globalni izrazi ("Transnational Cultural Mosaic: Unifying Global Expressions "- MOSAIC) </w:t>
      </w:r>
    </w:p>
    <w:p w:rsidR="00C95C6B" w:rsidRDefault="00C95C6B" w:rsidP="00376514">
      <w:pPr>
        <w:spacing w:after="0"/>
        <w:ind w:left="1" w:hanging="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Krajnji rok za podnošenje ponuda za tender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Krajnji rok za podnošenje ponuda za tender je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14/02/2025 u 12:00 časova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Sve ponude dobijene nakon ovog roka će automatski biti odbijene.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Ponuđač bi trebalo da ima minimum 7 dana od datuma objavljivanja javne nabavke za pripremu ponude (isključujući dan objave i datum krajnjeg roka za podnošenje ponude).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** - Naručilac je u obavezi da pruži odgovor na sva dobijena pitanja najkasnije u roku od 3 dana pre isteka roka kao i da ih objavi na istim web site-ovima na kojima je i sam tender objavljen.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Finansijske informacije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Podnosioci ponuda za tender se podsećaju da je maksimalna raspoloživa vrednost Ugovora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3.000 EUR uključujući i PDV.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Finansijska ponuda mora biti prikazana u iznosu u EUR uključujući PDV i mora biti podneta na obrascu: DEO C: FORMAT FINANSIJSKE PONUDE. 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 ovaj ugovor PDV je prihvatljiv trošak.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Odredbe vezane za primenu odgovarajućih poreza i carina su navedene u nacrtu Ugovora, u Delu A ovog tenderskog dosijea. </w:t>
      </w:r>
    </w:p>
    <w:p w:rsidR="00C95C6B" w:rsidRDefault="00067916" w:rsidP="00376514">
      <w:pPr>
        <w:keepNext/>
        <w:spacing w:before="120" w:after="120" w:line="240" w:lineRule="auto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Alternativna rešenja</w:t>
      </w:r>
    </w:p>
    <w:p w:rsidR="00C95C6B" w:rsidRDefault="00067916" w:rsidP="00376514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Ponuđačima nije dozvoljeno da koriste alternativna rešenja.</w:t>
      </w:r>
    </w:p>
    <w:p w:rsidR="00C95C6B" w:rsidRDefault="00067916" w:rsidP="00376514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Podugovaranje</w:t>
      </w:r>
    </w:p>
    <w:p w:rsidR="00C95C6B" w:rsidRDefault="00067916" w:rsidP="00376514">
      <w:pPr>
        <w:spacing w:before="120" w:after="120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Podugovaranje nije dozvoljeno.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Kriterijumi za dodelu Ugovora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više od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najbolji odnos cene i kvaliteta, ponderisanjem 80% kvalitet, cena 20%.  </w:t>
      </w:r>
    </w:p>
    <w:p w:rsidR="00C95C6B" w:rsidRDefault="00C95C6B" w:rsidP="00376514">
      <w:pPr>
        <w:tabs>
          <w:tab w:val="left" w:pos="417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5C6B" w:rsidRDefault="00067916" w:rsidP="00376514">
      <w:pPr>
        <w:tabs>
          <w:tab w:val="left" w:pos="360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Kriterijumi za evaluaciju tehničke ponude:</w:t>
      </w:r>
    </w:p>
    <w:p w:rsidR="00C95C6B" w:rsidRDefault="00067916" w:rsidP="00376514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Organizacija i metodologija: 60 poena</w:t>
      </w:r>
    </w:p>
    <w:p w:rsidR="00C95C6B" w:rsidRDefault="00067916" w:rsidP="00376514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Predloženi inputi: 30 poena</w:t>
      </w:r>
    </w:p>
    <w:p w:rsidR="00C95C6B" w:rsidRDefault="00067916" w:rsidP="00376514">
      <w:pPr>
        <w:numPr>
          <w:ilvl w:val="0"/>
          <w:numId w:val="1"/>
        </w:numPr>
        <w:tabs>
          <w:tab w:val="left" w:pos="45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Period izvršenja usluge: 10 poena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UKUPNO: 100 poena </w:t>
      </w:r>
    </w:p>
    <w:p w:rsidR="00C95C6B" w:rsidRDefault="00067916" w:rsidP="00376514">
      <w:pPr>
        <w:tabs>
          <w:tab w:val="left" w:pos="3660"/>
        </w:tabs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 slučaju dobijanja jedne ponude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Naručilac će proveriti da li ponuda administrativno, tehnički i finansijski ispunjava zahteve postavljene ovom tenderskom procedurom. </w:t>
      </w:r>
    </w:p>
    <w:p w:rsidR="00C95C6B" w:rsidRDefault="00067916" w:rsidP="00376514">
      <w:pPr>
        <w:spacing w:before="120" w:after="12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Razgovori: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Razgovori nisu predviđeni.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Obaveštenje o dodeli Ugovora: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Uspešni ponuđač će biti obavešten o rezultatima evaluacione procedure pisanim putem.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Adresa i način  podnošenja ponude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će podneti svoje ponude koristeći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standardizovani set formulara za podnošenje dostupan u Delu B – Tehnička ponuda i u Delu C - Finansijska ponuda.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Svaki drugi propratni dokument uz ovaj poziv je poslat samo u informativne svrhe i ne zahteva menjanje kao ni podnošenje od strane ponuđača. Ponuda se podnosi 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 originalu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Ponude koje nisu u skladu sa propisanom formom mogu biti odbijene od strane naručioca.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prilogu ponude, ponuđač je obavezan da priloži sledeću propratnu dokumentaciju: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Kopiju izvoda iz APR-a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(ukoliko nije javno dostupan) ili link ka registru privrednih subjekata koji vodi Agencija za privredne registre,</w:t>
      </w:r>
    </w:p>
    <w:p w:rsidR="00C95C6B" w:rsidRDefault="00067916" w:rsidP="00376514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dokazuje predmetna kvalifikacija.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trike/>
          <w:sz w:val="24"/>
          <w:szCs w:val="24"/>
        </w:rPr>
        <w:t xml:space="preserve"> 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Ponude se podnose u zapečaćenim kovertama, koje treba da sadrže sledeće informacije: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Ime i adresa ponuđača: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Fondacija Novi Sad Evropska prestonica kulture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Trg Slobode 3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21102 Novi Sad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Tamara Zelenović Vasiljević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Nabavka usluga implementacije obaveznog komunikacijskog paketa za potrebe realizacije projekta Transnacionalni kulturni mozaik: Objedinjujući globalni izrazi ("Transnational Cultural Mosaic: Unifying Global Expressions "- MOSAIC)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Referentni broj:  HUSRB/23R/22/060/P2.4.6.1.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Naznaku: ‘’Not to be opened before the tender opening session’’ (“Ne otvarati pre sastanka za otvaranje ponuda’’)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Ponude se moraju podneti korišćenjem sistema dvostrukih koverti, jedan  spoljašnji paket ili koverta mora sadržati dve zasebne zapečaćene koverte, jedna sa naznakom "Tehnička ponuda" – Deo B a druga sa naznakom "Finansijska ponuda" – Deo C. Bilo kakvo odstupanje od ovog pravila (npr. nezapečaćene koverte ili navođenje cene u tehničkoj ponudi) smatraće se kršenjem pravila i vodiće odbijanju ponude. 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Ponude se podnose lično, poštom ili kurirskom službom na sledeću adresu: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Fondacija Novi Sad Evropska prestonica kulture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Trg Slobode 3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21102 Novi Sad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kontakt lice: Tamara Zelenović Vasiljević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Ponuđači se podsećaju da će se uzeti u razmatranje samo ponude pristigle do krajnjeg roka koji je gore naveden.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numPr>
          <w:ilvl w:val="0"/>
          <w:numId w:val="5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TEHNIČKE INFORMACIJE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Ponuđači su u obavezi da pruže dole navedene usluge. U svojoj tehničkoj ponudi ponuđači treba detaljnije da opišu tražene usluge a prema dole postavljenim zahtevima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2.1.Aktivnosti: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95C6B" w:rsidRDefault="00067916" w:rsidP="00376514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Nabavka usluga implementacije obaveznog komunikacijskog paketa za potrebe realizacije projekta Transnacionalni kulturni mozaik: Objedinjujući globalni izrazi ("Transnational Cultural Mosaic: Unifying Global Expressions "- MOSAIC) </w:t>
      </w:r>
    </w:p>
    <w:p w:rsidR="000C476C" w:rsidRDefault="000C476C" w:rsidP="00376514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Aktivnosti:</w:t>
      </w:r>
    </w:p>
    <w:p w:rsidR="00C95C6B" w:rsidRDefault="00067916" w:rsidP="003765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Ažuriranje informacija o projektu na podstranici projekta na programskom sajtu 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(www.hungary-serbia.eu/projects/) 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Vremenski okvir: prvi, drugi, treći i četvrti, peti izveštajni period.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Traženi input (ciljna grupa): javnost, APV.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Ažuriranje informacija o projektu na Fejsbuk profilu projekta na srpskom i engleskom jeziku po potrebi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(Minimum 2 objave mesečno, svih 20 meseci trajanja projekta), 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Vremenski okvir:prvi, drugi, treći i četvrti, peti izveštajni period, 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Traženi input (ciljna grupa): javnost, APV 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Usluga dizajna i štampe roll up na srpskom i mađarskom jeziku u skladu sa elementima definisanim u Visual identity manual &amp;  Information and publicity guidelines,  Updated version: 04 June 2024.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Vremenski okvir: Prvi izveštajni period, 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Traženi input ; šira javnost, posetioci događaja,mediji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(tri) vremenski odvojenih saopštenja za javnost (press release) u lokalnim online medijima od početka projekta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Vremenski okvir: U skladu sa dinamikom realizacije projektnih aktivnosti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Traženi input (ciljna grupa): Šira javnost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Najmanje 1 sponzorisani članak ili 1 dodatno sponzorisani baner (ukupno 2)  Sponzorisana članka ili banera o rezultatima projekta sa elementima definisanim u Visual identity manual &amp;  Information and publicity guidelines,  Updated version: 04 June 2024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Vremenski okvir: U skladu sa dinamikom realizacije projektnih aktivnosti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Traženi input (ciljna grupa): Šira javnost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lokalna TV ili radio saopštenja ili spota u vremenskom trajanju u skladu sa elementima definisanim u Visual identity manual &amp;  Information and publicity guidelines,  Updated version: 04 June 2024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Vremenski okvir: U skladu sa dinamikom realizacije projektnih aktivnosti</w:t>
      </w:r>
    </w:p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Traženi input (ciljna grupa): Šira javnost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Zahtevani inputi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Kvalifikacije za pravno lice kao podnosioca ponude za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Nabavka usluga implementacije obaveznog komunikacijskog paketa za potrebe realizacije projekta Transnacionalni kulturni mozaik: Objedinjujući globalni izrazi ("Transnational Cultural Mosaic: Unifying Global Expressions "- MOSAIC) </w:t>
      </w:r>
    </w:p>
    <w:p w:rsidR="00C95C6B" w:rsidRDefault="00C95C6B" w:rsidP="00376514">
      <w:pPr>
        <w:ind w:left="0" w:hanging="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5C6B" w:rsidRDefault="00067916" w:rsidP="00376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Da ima kapacitet da obezbedi medijske objave u medijima sa lokalnom pokrivenošću (min. 1 referenca o saradnji sa medijskim kućama);</w:t>
      </w:r>
    </w:p>
    <w:p w:rsidR="00C95C6B" w:rsidRDefault="00067916" w:rsidP="003765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 ima prethodno iskustvo u vođenju profila na društvenim mrežama za pravna lica (min. 1 referenca o vođenju profila na društvenim mrežama za pravna lica);</w:t>
      </w:r>
    </w:p>
    <w:p w:rsidR="00C95C6B" w:rsidRDefault="00C95C6B" w:rsidP="0037651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Dokaz koji se prilaže uz ponudu:</w:t>
      </w:r>
    </w:p>
    <w:p w:rsidR="00C95C6B" w:rsidRDefault="00067916" w:rsidP="00376514">
      <w:pPr>
        <w:numPr>
          <w:ilvl w:val="2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kopija ugovora ILI izjava pravnog lica sa spiskom referenci kojima se dokazuju predmetne kvalifikacije.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color w:val="76923C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Period izvršenja usluge: Februar 2025- Jul 2026.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numPr>
          <w:ilvl w:val="0"/>
          <w:numId w:val="5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DODATNE INFORMACIJE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Neuspešni/uspešni ponuđači će biti informisani o rezultatima evaluacije. U tom slučaju Naručilac će poslati obaveštenje uspešnom ponuđaču i objaviti na web sajtu ime uspešnog ponuđača napominjući da “preostale ponude nisu admisistrativno/tehnički/finansijski usklađene.” 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Dodatna informacija za Ponuđače u vezi sa dinamikom plaćanja: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Aktivnosti  1,2,3,4,5,6 spadaju u obavezan komunikacijski paket prema pravilima programa i plaćanja za ove usluge vrše se na sledeći način: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50%  od iznosa od 3.000 e kada se urade sledeći:</w:t>
      </w:r>
    </w:p>
    <w:p w:rsidR="00C95C6B" w:rsidRDefault="00067916">
      <w:pPr>
        <w:numPr>
          <w:ilvl w:val="0"/>
          <w:numId w:val="4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kada se izvrše sledeće usluge: kreira podstranica projekta na programskom sajtu, kreira stranica projekta na društvenim stranicama (facebook)</w:t>
      </w:r>
    </w:p>
    <w:p w:rsidR="00C95C6B" w:rsidRDefault="00067916">
      <w:pPr>
        <w:numPr>
          <w:ilvl w:val="0"/>
          <w:numId w:val="4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objavi /proizvede jedno press release (saopštenje) i dostavi dokaz za to</w:t>
      </w:r>
    </w:p>
    <w:p w:rsidR="00C95C6B" w:rsidRDefault="00067916">
      <w:pPr>
        <w:numPr>
          <w:ilvl w:val="0"/>
          <w:numId w:val="4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dizajniraju i dostave naručiocu 2 roll upa (1 na srpskom i 1 na mađarskom jeziku)</w:t>
      </w:r>
    </w:p>
    <w:p w:rsidR="00C95C6B" w:rsidRDefault="00067916">
      <w:pPr>
        <w:numPr>
          <w:ilvl w:val="0"/>
          <w:numId w:val="4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objavi 1 sponzorisani članak i dostavi dokaz za to</w:t>
      </w:r>
    </w:p>
    <w:p w:rsidR="00C95C6B" w:rsidRDefault="00067916">
      <w:pPr>
        <w:numPr>
          <w:ilvl w:val="0"/>
          <w:numId w:val="4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objavi/realizuje 1 lokalni TV ili radio izveštaj (i dostavi dokaz za to)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Preostalih 50% nakon što se izvrše sve preostale obaveze po tačkama 1,2,3,4,5,6.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Poverljivost</w:t>
      </w:r>
    </w:p>
    <w:p w:rsidR="00C95C6B" w:rsidRDefault="00067916" w:rsidP="00376514">
      <w:pPr>
        <w:pStyle w:val="Heading3"/>
        <w:spacing w:before="280" w:after="280"/>
        <w:ind w:left="0" w:hanging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Celokupna procedura evaluacije je poverljiva, i podleže zakonima naručioca koji se odnose na pristup dokumentima. Odluke evaluacione komisije su kolektivne i ona odluke donosi na zatvorenim sastancima. Članovi evaluacione komisije su se obavezali na tajnost. Evaluacioni izveštaji i pisana dokumenta su namenjena samo za službenu upotrebu i ne smeju se prenositi ni ponuđačima ni bilo kome drugome osim naručiocu, Evropskoj Komisiji, Evropskoj službi za suzbijanje prevara (OLAF) i Evropskom revizorskom sudu.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1"/>
        <w:tblW w:w="9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C95C6B">
        <w:tc>
          <w:tcPr>
            <w:tcW w:w="9000" w:type="dxa"/>
          </w:tcPr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                               NE POPUNJAVATI PRE POTPISIVANJA UGOVORA </w:t>
            </w:r>
          </w:p>
        </w:tc>
      </w:tr>
      <w:tr w:rsidR="00C95C6B">
        <w:tc>
          <w:tcPr>
            <w:tcW w:w="9000" w:type="dxa"/>
          </w:tcPr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NE PODNOSITI U OKVIRU PONUDE!!!</w:t>
            </w:r>
          </w:p>
        </w:tc>
      </w:tr>
    </w:tbl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FORMAT UGOVORA IZMEĐU IZVRŠIOCA I NARUČIOCA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NAZIV UGOVORA: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naziv ugovora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REF: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referentni broj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Zaključen između: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 xml:space="preserve"> 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naručioca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(Naručilac)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Poslovno ime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Adresa izvršioca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Matični broj/PIB broj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&gt;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(Izvršilac)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1: Predmet Ugovora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Predmet Ugovora je &lt;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usluga</w:t>
      </w:r>
      <w:r>
        <w:rPr>
          <w:rFonts w:ascii="Times New Roman" w:eastAsia="Times New Roman" w:hAnsi="Times New Roman" w:cs="Times New Roman"/>
          <w:sz w:val="24"/>
          <w:szCs w:val="24"/>
        </w:rPr>
        <w:t>&gt; kao što je i navedeno u ponudi izvršioca – ‘’Deo B: Format ponude koji popunjava ponuđač’’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2: Vrednost Ugovora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Ukupna vrednost Ugovora za pružanje usluga iz Člana 1 je: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XXX EUR/RSD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uključujući/isključujući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PDV.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sve partnere: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 skladu sa IPA implementacionom regulativom, za sve partnere PDV može biti prihvatljiv trošak. Naručilac će platiti jedinične cene, kako je navedeno u finansijskoj ponudi kao i PDV ukoliko je isti prihvatljiv i jasno naveden na računu. 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 ovaj ugovor PDV je [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prihvatljiv / neprihvatljiv]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trošak.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3: Ugovorna dokumentacija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Dokumenta koja čine deo ovog ugovora su (po prioritetu):</w:t>
      </w:r>
    </w:p>
    <w:p w:rsidR="00C95C6B" w:rsidRDefault="00067916" w:rsidP="00376514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Ugovor</w:t>
      </w:r>
    </w:p>
    <w:p w:rsidR="00C95C6B" w:rsidRDefault="00067916" w:rsidP="00376514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Ponuda izvršioca koja je obezbeđena u tenderskoj fazi – ‘’Deo B: Format ponude koji popunjava ponuđač ’’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Finansijska ponuda izvršioca –“ Deo C: Format finansijske ponude”</w:t>
      </w:r>
    </w:p>
    <w:p w:rsidR="00C95C6B" w:rsidRDefault="00067916" w:rsidP="00376514">
      <w:pPr>
        <w:numPr>
          <w:ilvl w:val="0"/>
          <w:numId w:val="1"/>
        </w:num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Sva druga prateća dokumentacija ukoliko je tražena (* - u slučaju zahteva za dostavom izvoda iz APR-a ili drugih informacija)  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 sva pitanja koja nisu definisana ovim Ugovorom biće primenjena pravila predviđena Opštim uslovima (General conditions) </w:t>
      </w:r>
    </w:p>
    <w:tbl>
      <w:tblPr>
        <w:tblStyle w:val="a2"/>
        <w:tblW w:w="9176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30"/>
        <w:gridCol w:w="6926"/>
      </w:tblGrid>
      <w:tr w:rsidR="00C95C6B"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B8d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95C6B" w:rsidRDefault="00067916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Nacrt Ugovora: Opšti uslovi</w:t>
            </w:r>
          </w:p>
        </w:tc>
        <w:tc>
          <w:tcPr>
            <w:tcW w:w="6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8F8F8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C95C6B" w:rsidRDefault="001D5A8B" w:rsidP="00376514">
            <w:pP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>
              <w:r w:rsidR="0006791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https://wikis.ec.europa.eu/download/attachments/44168995/b8d_annexigc_en.pdf</w:t>
              </w:r>
            </w:hyperlink>
          </w:p>
        </w:tc>
      </w:tr>
    </w:tbl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1D5A8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anchor="Annexes-AnnexesB(Ch.3):Servicecontracts">
        <w:r w:rsidR="000679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https://wikis.ec.europa.eu/display/ExactExternalWiki/Annexes#Annexes-AnnexesB(Ch.3):Servicecontracts</w:t>
        </w:r>
      </w:hyperlink>
      <w:r w:rsidR="000679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4: Pružanje usluga i plaćanja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Izvršilac će bezrezervno pružiti usluge kao što je i navedeno u ponudi izvršioca ‘’Deo B: Format ponude koju popunjava ponuđač’’. Pružanje usluga će biti implementirano u okviru navedenih datuma.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Naručilac će platiti izvršiocu usluge u iznosu koji je naveden u Članu 2 ovog Ugovora.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 slučaju da je Ugovor zaključen u EUR, a plaćanja u RSD, kurs koji se primenjuje mora biti InforEuro kurs za mesec izdavanja fakture ili profakture u slučaju oslobađanja od PDV-a.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Plaćanja će biti izvršena prema sledećem vremenskom rasporedu.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W w:w="901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C95C6B">
        <w:trPr>
          <w:cantSplit/>
          <w:trHeight w:val="345"/>
        </w:trPr>
        <w:tc>
          <w:tcPr>
            <w:tcW w:w="1728" w:type="dxa"/>
          </w:tcPr>
          <w:p w:rsidR="00C95C6B" w:rsidRDefault="00067916" w:rsidP="00376514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Dan/Mesec</w:t>
            </w:r>
          </w:p>
        </w:tc>
        <w:tc>
          <w:tcPr>
            <w:tcW w:w="4509" w:type="dxa"/>
          </w:tcPr>
          <w:p w:rsidR="00C95C6B" w:rsidRDefault="00C95C6B" w:rsidP="00376514">
            <w:pPr>
              <w:keepNext/>
              <w:spacing w:before="40" w:after="40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</w:tcPr>
          <w:p w:rsidR="00C95C6B" w:rsidRDefault="00067916" w:rsidP="00376514">
            <w:pPr>
              <w:keepNext/>
              <w:spacing w:before="40" w:after="40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&lt;</w:t>
            </w:r>
            <w:r>
              <w:rPr>
                <w:rFonts w:ascii="Times New Roman" w:eastAsia="Times New Roman" w:hAnsi="Times New Roman" w:cs="Times New Roman"/>
                <w:b/>
                <w:highlight w:val="yellow"/>
              </w:rPr>
              <w:t>EUR/RSD</w:t>
            </w:r>
            <w:r>
              <w:rPr>
                <w:rFonts w:ascii="Times New Roman" w:eastAsia="Times New Roman" w:hAnsi="Times New Roman" w:cs="Times New Roman"/>
                <w:b/>
              </w:rPr>
              <w:t>&gt;</w:t>
            </w:r>
          </w:p>
        </w:tc>
      </w:tr>
      <w:tr w:rsidR="00C95C6B">
        <w:trPr>
          <w:cantSplit/>
          <w:trHeight w:val="665"/>
        </w:trPr>
        <w:tc>
          <w:tcPr>
            <w:tcW w:w="1728" w:type="dxa"/>
            <w:tcBorders>
              <w:bottom w:val="nil"/>
            </w:tcBorders>
          </w:tcPr>
          <w:p w:rsidR="00C95C6B" w:rsidRDefault="00067916" w:rsidP="000C476C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Okvirno </w:t>
            </w:r>
            <w:r w:rsidR="000C476C">
              <w:rPr>
                <w:rFonts w:ascii="Times New Roman" w:eastAsia="Times New Roman" w:hAnsi="Times New Roman" w:cs="Times New Roman"/>
                <w:highlight w:val="yellow"/>
              </w:rPr>
              <w:t>decembar</w:t>
            </w:r>
            <w:r>
              <w:rPr>
                <w:rFonts w:ascii="Times New Roman" w:eastAsia="Times New Roman" w:hAnsi="Times New Roman" w:cs="Times New Roman"/>
                <w:highlight w:val="yellow"/>
              </w:rPr>
              <w:t xml:space="preserve"> 2025</w:t>
            </w:r>
          </w:p>
        </w:tc>
        <w:tc>
          <w:tcPr>
            <w:tcW w:w="4509" w:type="dxa"/>
            <w:tcBorders>
              <w:bottom w:val="nil"/>
            </w:tcBorders>
          </w:tcPr>
          <w:p w:rsidR="00C95C6B" w:rsidRDefault="00067916" w:rsidP="00376514">
            <w:pPr>
              <w:spacing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Privremena plaćanja (*ako je primenljivo)</w:t>
            </w:r>
          </w:p>
          <w:p w:rsidR="00C95C6B" w:rsidRDefault="00C95C6B" w:rsidP="00376514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1" w:type="dxa"/>
            <w:tcBorders>
              <w:bottom w:val="nil"/>
            </w:tcBorders>
          </w:tcPr>
          <w:p w:rsidR="00C95C6B" w:rsidRDefault="00067916" w:rsidP="00376514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1500e</w:t>
            </w:r>
          </w:p>
        </w:tc>
      </w:tr>
      <w:tr w:rsidR="00C95C6B">
        <w:trPr>
          <w:cantSplit/>
          <w:trHeight w:val="602"/>
        </w:trPr>
        <w:tc>
          <w:tcPr>
            <w:tcW w:w="1728" w:type="dxa"/>
            <w:tcBorders>
              <w:bottom w:val="nil"/>
            </w:tcBorders>
          </w:tcPr>
          <w:p w:rsidR="00C95C6B" w:rsidRDefault="00067916" w:rsidP="00376514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juli 2026</w:t>
            </w:r>
          </w:p>
        </w:tc>
        <w:tc>
          <w:tcPr>
            <w:tcW w:w="4509" w:type="dxa"/>
            <w:tcBorders>
              <w:bottom w:val="nil"/>
            </w:tcBorders>
          </w:tcPr>
          <w:p w:rsidR="00C95C6B" w:rsidRDefault="00067916" w:rsidP="00376514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Konačna isplata</w:t>
            </w:r>
          </w:p>
        </w:tc>
        <w:tc>
          <w:tcPr>
            <w:tcW w:w="2781" w:type="dxa"/>
            <w:tcBorders>
              <w:bottom w:val="nil"/>
            </w:tcBorders>
          </w:tcPr>
          <w:p w:rsidR="00C95C6B" w:rsidRDefault="00067916" w:rsidP="00376514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</w:rPr>
              <w:t>Okvirno 1500e</w:t>
            </w:r>
          </w:p>
        </w:tc>
      </w:tr>
      <w:tr w:rsidR="00C95C6B">
        <w:trPr>
          <w:cantSplit/>
          <w:trHeight w:val="398"/>
        </w:trPr>
        <w:tc>
          <w:tcPr>
            <w:tcW w:w="1728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C95C6B" w:rsidRDefault="00C95C6B" w:rsidP="00376514">
            <w:pPr>
              <w:spacing w:before="40" w:after="4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9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C95C6B" w:rsidRDefault="00067916" w:rsidP="00376514">
            <w:pPr>
              <w:spacing w:before="40" w:after="40" w:line="240" w:lineRule="auto"/>
              <w:ind w:left="0" w:hanging="2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Ukupno</w:t>
            </w:r>
          </w:p>
        </w:tc>
        <w:tc>
          <w:tcPr>
            <w:tcW w:w="2781" w:type="dxa"/>
            <w:tcBorders>
              <w:top w:val="dotted" w:sz="4" w:space="0" w:color="000000"/>
              <w:bottom w:val="single" w:sz="4" w:space="0" w:color="000000"/>
            </w:tcBorders>
            <w:shd w:val="clear" w:color="auto" w:fill="E6E6E6"/>
          </w:tcPr>
          <w:p w:rsidR="00C95C6B" w:rsidRDefault="00067916" w:rsidP="00376514">
            <w:pPr>
              <w:spacing w:after="0" w:line="240" w:lineRule="auto"/>
              <w:ind w:left="0" w:hanging="2"/>
              <w:jc w:val="center"/>
              <w:textDirection w:val="lrTb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3000e</w:t>
            </w:r>
          </w:p>
        </w:tc>
      </w:tr>
    </w:tbl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 - Izvršilac će dostaviti naručiocu kratak izveštaj o izvršenim uslugama, što će predstavljati osnovu za odobrenje privremenih i konačnih isplata.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5: Trajanje Ugovora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Trajanje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XX dana/meseci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&gt;. </w:t>
      </w: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Datum početka Ugovora je &lt;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dd/mm/gggg</w:t>
      </w:r>
      <w:r>
        <w:rPr>
          <w:rFonts w:ascii="Times New Roman" w:eastAsia="Times New Roman" w:hAnsi="Times New Roman" w:cs="Times New Roman"/>
          <w:sz w:val="24"/>
          <w:szCs w:val="24"/>
        </w:rPr>
        <w:t>&gt;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Član 6: Rešavanje sporova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5C6B" w:rsidRDefault="00067916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Bilo kakvi sporovi koji proizilaze ili su vezani za ovaj Ugovor koji se ne mogu drugačije rešiti će biti upućeni na isključivu nadležnost (*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- navesti nadležni sud ili arbitarno telo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u saglasnosti sa nacionalnim zakonodavstvom države naručioca. </w:t>
      </w:r>
    </w:p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090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C95C6B">
        <w:tc>
          <w:tcPr>
            <w:tcW w:w="4750" w:type="dxa"/>
            <w:gridSpan w:val="2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izvršioca</w:t>
            </w:r>
          </w:p>
        </w:tc>
        <w:tc>
          <w:tcPr>
            <w:tcW w:w="4340" w:type="dxa"/>
            <w:gridSpan w:val="2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Za naručioca</w:t>
            </w:r>
          </w:p>
        </w:tc>
      </w:tr>
      <w:tr w:rsidR="00C95C6B">
        <w:trPr>
          <w:cantSplit/>
        </w:trPr>
        <w:tc>
          <w:tcPr>
            <w:tcW w:w="149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325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Ime:</w:t>
            </w:r>
          </w:p>
        </w:tc>
        <w:tc>
          <w:tcPr>
            <w:tcW w:w="201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5C6B">
        <w:trPr>
          <w:cantSplit/>
        </w:trPr>
        <w:tc>
          <w:tcPr>
            <w:tcW w:w="149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325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232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Zvanje:</w:t>
            </w:r>
          </w:p>
        </w:tc>
        <w:tc>
          <w:tcPr>
            <w:tcW w:w="201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5C6B">
        <w:trPr>
          <w:cantSplit/>
        </w:trPr>
        <w:tc>
          <w:tcPr>
            <w:tcW w:w="149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325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Potpis:</w:t>
            </w:r>
          </w:p>
        </w:tc>
        <w:tc>
          <w:tcPr>
            <w:tcW w:w="201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95C6B">
        <w:trPr>
          <w:cantSplit/>
        </w:trPr>
        <w:tc>
          <w:tcPr>
            <w:tcW w:w="149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325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1" w:type="dxa"/>
          </w:tcPr>
          <w:p w:rsidR="00C95C6B" w:rsidRDefault="00067916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2019" w:type="dxa"/>
          </w:tcPr>
          <w:p w:rsidR="00C95C6B" w:rsidRDefault="00C95C6B" w:rsidP="00376514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0" w:after="16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95C6B" w:rsidRDefault="00C95C6B" w:rsidP="00376514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p w:rsidR="00C95C6B" w:rsidRDefault="00C95C6B" w:rsidP="00C95C6B">
      <w:pPr>
        <w:spacing w:after="0"/>
        <w:ind w:left="0" w:hanging="2"/>
        <w:jc w:val="both"/>
        <w:rPr>
          <w:rFonts w:ascii="Times New Roman" w:eastAsia="Times New Roman" w:hAnsi="Times New Roman" w:cs="Times New Roman"/>
        </w:rPr>
      </w:pPr>
    </w:p>
    <w:sectPr w:rsidR="00C95C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A8B" w:rsidRDefault="001D5A8B" w:rsidP="00376514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D5A8B" w:rsidRDefault="001D5A8B" w:rsidP="0037651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6B" w:rsidRDefault="00C95C6B" w:rsidP="003765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6B" w:rsidRDefault="00C95C6B" w:rsidP="003765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6B" w:rsidRDefault="00C95C6B" w:rsidP="003765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A8B" w:rsidRDefault="001D5A8B" w:rsidP="00376514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D5A8B" w:rsidRDefault="001D5A8B" w:rsidP="00376514">
      <w:pPr>
        <w:spacing w:after="0" w:line="240" w:lineRule="auto"/>
        <w:ind w:left="0" w:hanging="2"/>
      </w:pPr>
      <w:r>
        <w:continuationSeparator/>
      </w:r>
    </w:p>
  </w:footnote>
  <w:footnote w:id="1">
    <w:p w:rsidR="00C95C6B" w:rsidRDefault="00067916" w:rsidP="00376514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Gde je primenljivo. Za fizička lica, navesti broj lične karte, pasoša ili broj sličnog dokumenta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6B" w:rsidRDefault="00C95C6B" w:rsidP="003765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6B" w:rsidRDefault="00C95C6B" w:rsidP="003765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C6B" w:rsidRDefault="00C95C6B" w:rsidP="00376514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E33C1"/>
    <w:multiLevelType w:val="multilevel"/>
    <w:tmpl w:val="87C0430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67C960CC"/>
    <w:multiLevelType w:val="multilevel"/>
    <w:tmpl w:val="97D078F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6C694592"/>
    <w:multiLevelType w:val="multilevel"/>
    <w:tmpl w:val="4D46050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6E5E5AB2"/>
    <w:multiLevelType w:val="multilevel"/>
    <w:tmpl w:val="4BF4583E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7E223007"/>
    <w:multiLevelType w:val="multilevel"/>
    <w:tmpl w:val="9632A39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95C6B"/>
    <w:rsid w:val="00067916"/>
    <w:rsid w:val="000C476C"/>
    <w:rsid w:val="001D5A8B"/>
    <w:rsid w:val="00376514"/>
    <w:rsid w:val="004821C5"/>
    <w:rsid w:val="00621BA3"/>
    <w:rsid w:val="00C9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sl-SI" w:eastAsia="sr-Cyrl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sl-SI" w:eastAsia="sr-Cyrl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08"/>
    </w:p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BodyText">
    <w:name w:val="Body Text"/>
    <w:basedOn w:val="Normal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  <w:lang w:val="en-GB" w:eastAsia="en-GB"/>
    </w:rPr>
  </w:style>
  <w:style w:type="paragraph" w:styleId="EndnoteText">
    <w:name w:val="endnote text"/>
    <w:basedOn w:val="Normal"/>
    <w:qFormat/>
    <w:rPr>
      <w:sz w:val="20"/>
      <w:szCs w:val="20"/>
    </w:rPr>
  </w:style>
  <w:style w:type="character" w:customStyle="1" w:styleId="EndnoteTextChar">
    <w:name w:val="End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EndnoteReference">
    <w:name w:val="end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FootnoteText">
    <w:name w:val="footnote text"/>
    <w:basedOn w:val="Normal"/>
    <w:qFormat/>
    <w:rPr>
      <w:sz w:val="20"/>
      <w:szCs w:val="20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rPr>
      <w:sz w:val="20"/>
      <w:szCs w:val="20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val="sl-SI" w:eastAsia="en-US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val="sl-SI" w:eastAsia="en-US"/>
    </w:rPr>
  </w:style>
  <w:style w:type="paragraph" w:styleId="Header">
    <w:name w:val="header"/>
    <w:basedOn w:val="Normal"/>
    <w:qFormat/>
    <w:pPr>
      <w:spacing w:after="0" w:line="240" w:lineRule="auto"/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paragraph" w:styleId="Footer">
    <w:name w:val="footer"/>
    <w:basedOn w:val="Normal"/>
    <w:qFormat/>
    <w:pPr>
      <w:spacing w:after="0" w:line="240" w:lineRule="auto"/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val="sl-SI"/>
    </w:rPr>
  </w:style>
  <w:style w:type="character" w:customStyle="1" w:styleId="Heading3Char">
    <w:name w:val="Heading 3 Char"/>
    <w:rPr>
      <w:rFonts w:ascii="Times New Roman" w:eastAsia="Times New Roman" w:hAnsi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ownload/attachments/44168995/b8d_annexigc_en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ikis.ec.europa.eu/display/ExactExternalWiki/Annex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2025-02-06T07:04:00Z</dcterms:created>
  <dcterms:modified xsi:type="dcterms:W3CDTF">2025-02-06T07:04:00Z</dcterms:modified>
</cp:coreProperties>
</file>