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05ACA935" w14:textId="05C4311A" w:rsidR="00215403" w:rsidRPr="007F2E96" w:rsidRDefault="00FF1DA1" w:rsidP="007F2E96">
      <w:pPr>
        <w:jc w:val="center"/>
        <w:rPr>
          <w:rStyle w:val="Strong"/>
          <w:b w:val="0"/>
          <w:sz w:val="28"/>
          <w:szCs w:val="28"/>
          <w:lang w:val="en-GB"/>
        </w:rPr>
      </w:pPr>
      <w:r w:rsidRPr="00FF1DA1">
        <w:rPr>
          <w:rStyle w:val="Strong"/>
          <w:sz w:val="28"/>
          <w:szCs w:val="28"/>
          <w:lang w:val="en-GB"/>
        </w:rPr>
        <w:t>Project procurement se</w:t>
      </w:r>
      <w:r>
        <w:rPr>
          <w:rStyle w:val="Strong"/>
          <w:sz w:val="28"/>
          <w:szCs w:val="28"/>
          <w:lang w:val="en-GB"/>
        </w:rPr>
        <w:t>r</w:t>
      </w:r>
      <w:r w:rsidRPr="00FF1DA1">
        <w:rPr>
          <w:rStyle w:val="Strong"/>
          <w:sz w:val="28"/>
          <w:szCs w:val="28"/>
          <w:lang w:val="en-GB"/>
        </w:rPr>
        <w:t xml:space="preserve">vices </w:t>
      </w:r>
      <w:r w:rsidR="006F5FD0" w:rsidRPr="00B33EE6">
        <w:rPr>
          <w:rStyle w:val="Strong"/>
          <w:sz w:val="28"/>
          <w:szCs w:val="28"/>
          <w:lang w:val="en-GB"/>
        </w:rPr>
        <w:br/>
      </w:r>
      <w:r w:rsidR="006F5FD0" w:rsidRPr="007F2E96">
        <w:rPr>
          <w:rStyle w:val="Strong"/>
          <w:sz w:val="28"/>
          <w:szCs w:val="28"/>
          <w:lang w:val="en-GB"/>
        </w:rPr>
        <w:t xml:space="preserve">Location </w:t>
      </w:r>
      <w:r w:rsidR="00492F98" w:rsidRPr="007F2E96">
        <w:rPr>
          <w:rStyle w:val="Strong"/>
          <w:sz w:val="28"/>
          <w:szCs w:val="28"/>
          <w:lang w:val="en-GB"/>
        </w:rPr>
        <w:t>–</w:t>
      </w:r>
      <w:r w:rsidR="006F5FD0" w:rsidRPr="007F2E96">
        <w:rPr>
          <w:rStyle w:val="Strong"/>
          <w:sz w:val="28"/>
          <w:szCs w:val="28"/>
          <w:lang w:val="en-GB"/>
        </w:rPr>
        <w:t xml:space="preserve"> </w:t>
      </w:r>
      <w:r w:rsidR="00492F98" w:rsidRPr="007F2E96">
        <w:rPr>
          <w:rStyle w:val="Strong"/>
          <w:sz w:val="28"/>
          <w:szCs w:val="28"/>
          <w:lang w:val="en-GB"/>
        </w:rPr>
        <w:t>Novi Sad</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69C89CF0" w:rsidR="006F5FD0" w:rsidRPr="00B33EE6" w:rsidRDefault="00291AEE">
      <w:pPr>
        <w:pStyle w:val="Blockquote"/>
        <w:rPr>
          <w:i/>
          <w:sz w:val="22"/>
          <w:szCs w:val="22"/>
          <w:lang w:val="en-GB"/>
        </w:rPr>
      </w:pPr>
      <w:r w:rsidRPr="00291AEE">
        <w:rPr>
          <w:rStyle w:val="Emphasis"/>
          <w:i w:val="0"/>
          <w:sz w:val="22"/>
          <w:szCs w:val="22"/>
          <w:lang w:val="en-GB"/>
        </w:rPr>
        <w:t>IPAIII/2024/460-910/01(5.10.)</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089440A7" w:rsidR="006F5FD0" w:rsidRPr="00B33EE6" w:rsidRDefault="00AD1E4D" w:rsidP="00C867B9">
      <w:pPr>
        <w:pStyle w:val="Blockquote"/>
        <w:ind w:left="0"/>
        <w:jc w:val="both"/>
        <w:rPr>
          <w:sz w:val="22"/>
          <w:szCs w:val="22"/>
          <w:lang w:val="en-GB"/>
        </w:rPr>
      </w:pPr>
      <w:r w:rsidRPr="00EF498A">
        <w:rPr>
          <w:sz w:val="22"/>
          <w:szCs w:val="22"/>
          <w:lang w:val="en-GB"/>
        </w:rPr>
        <w:t xml:space="preserve">   </w:t>
      </w:r>
      <w:r w:rsidR="00F60220" w:rsidRPr="00EF498A">
        <w:rPr>
          <w:sz w:val="22"/>
          <w:szCs w:val="22"/>
          <w:lang w:val="en-GB"/>
        </w:rPr>
        <w:t>Single tender</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5CF4FBA4" w:rsidR="00971962" w:rsidRPr="00B33EE6" w:rsidRDefault="00160C41" w:rsidP="00B33EE6">
      <w:pPr>
        <w:pStyle w:val="PRAGHeading2"/>
        <w:numPr>
          <w:ilvl w:val="0"/>
          <w:numId w:val="0"/>
        </w:numPr>
        <w:ind w:left="357" w:right="357"/>
        <w:rPr>
          <w:lang w:val="en-GB"/>
        </w:rPr>
      </w:pPr>
      <w:r>
        <w:rPr>
          <w:lang w:val="en-GB"/>
        </w:rPr>
        <w:t xml:space="preserve">Support </w:t>
      </w:r>
      <w:r w:rsidR="009B72CD">
        <w:rPr>
          <w:lang w:val="en-GB"/>
        </w:rPr>
        <w:t>to regional thematic networks of Civil Society Organizations (CSOs)</w:t>
      </w:r>
      <w:r w:rsidR="00CC3A74">
        <w:rPr>
          <w:lang w:val="en-GB"/>
        </w:rPr>
        <w:t xml:space="preserve">; Regional networks promoting independent pluralistic </w:t>
      </w:r>
      <w:r w:rsidR="0042129D">
        <w:rPr>
          <w:lang w:val="en-GB"/>
        </w:rPr>
        <w:t>media and freedom of expression; and EU Award for Roma Intergration</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2AF73BF2" w:rsidR="00502217" w:rsidRPr="00B33EE6" w:rsidRDefault="00635B45" w:rsidP="00502217">
      <w:pPr>
        <w:pStyle w:val="Blockquote"/>
        <w:jc w:val="both"/>
        <w:rPr>
          <w:sz w:val="22"/>
          <w:szCs w:val="22"/>
          <w:lang w:val="en-GB"/>
        </w:rPr>
      </w:pPr>
      <w:r>
        <w:rPr>
          <w:rStyle w:val="Emphasis"/>
          <w:i w:val="0"/>
          <w:sz w:val="22"/>
          <w:szCs w:val="22"/>
          <w:lang w:val="en-GB"/>
        </w:rPr>
        <w:t>EuropeAid</w:t>
      </w:r>
      <w:r w:rsidR="00F85F48">
        <w:rPr>
          <w:rStyle w:val="Emphasis"/>
          <w:i w:val="0"/>
          <w:sz w:val="22"/>
          <w:szCs w:val="22"/>
          <w:lang w:val="en-GB"/>
        </w:rPr>
        <w:t>/179703/DH/ACT/Multi</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16A01A3E" w:rsidR="006F5FD0" w:rsidRDefault="00CB6B21" w:rsidP="00B33EE6">
      <w:pPr>
        <w:ind w:left="357" w:right="357"/>
        <w:jc w:val="both"/>
        <w:rPr>
          <w:rStyle w:val="Emphasis"/>
          <w:i w:val="0"/>
          <w:sz w:val="22"/>
          <w:szCs w:val="22"/>
          <w:lang w:val="en-GB"/>
        </w:rPr>
      </w:pPr>
      <w:r>
        <w:rPr>
          <w:rStyle w:val="Emphasis"/>
          <w:i w:val="0"/>
          <w:sz w:val="22"/>
          <w:szCs w:val="22"/>
          <w:lang w:val="en-GB"/>
        </w:rPr>
        <w:t>F</w:t>
      </w:r>
      <w:r w:rsidR="00AE7733">
        <w:rPr>
          <w:rStyle w:val="Emphasis"/>
          <w:i w:val="0"/>
          <w:sz w:val="22"/>
          <w:szCs w:val="22"/>
          <w:lang w:val="en-GB"/>
        </w:rPr>
        <w:t>oundation “Novi Sad – European Capital of Culture”</w:t>
      </w:r>
    </w:p>
    <w:p w14:paraId="67F4A905" w14:textId="40F2B874" w:rsidR="006F5FD0" w:rsidRPr="00B33EE6" w:rsidRDefault="00B85BBB">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589D319E" wp14:editId="3DD574E8">
                <wp:simplePos x="0" y="0"/>
                <wp:positionH relativeFrom="column">
                  <wp:posOffset>0</wp:posOffset>
                </wp:positionH>
                <wp:positionV relativeFrom="paragraph">
                  <wp:posOffset>152400</wp:posOffset>
                </wp:positionV>
                <wp:extent cx="5943600" cy="635"/>
                <wp:effectExtent l="0" t="0" r="0" b="0"/>
                <wp:wrapNone/>
                <wp:docPr id="205108300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BA2055"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C356918" w:rsidR="006F5FD0" w:rsidRPr="00B33EE6" w:rsidRDefault="006F5FD0">
      <w:pPr>
        <w:pStyle w:val="Blockquote"/>
        <w:jc w:val="both"/>
        <w:rPr>
          <w:i/>
          <w:sz w:val="22"/>
          <w:szCs w:val="22"/>
          <w:lang w:val="en-GB"/>
        </w:rPr>
      </w:pPr>
      <w:r w:rsidRPr="00E20C75">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2B04894E" w:rsidR="006F5FD0" w:rsidRPr="00B33EE6" w:rsidRDefault="00420D6F">
      <w:pPr>
        <w:pStyle w:val="Blockquote"/>
        <w:jc w:val="both"/>
        <w:rPr>
          <w:i/>
          <w:sz w:val="22"/>
          <w:szCs w:val="22"/>
          <w:lang w:val="en-GB"/>
        </w:rPr>
      </w:pPr>
      <w:r>
        <w:rPr>
          <w:rStyle w:val="Emphasis"/>
          <w:i w:val="0"/>
          <w:sz w:val="22"/>
          <w:szCs w:val="22"/>
          <w:lang w:val="en-GB"/>
        </w:rPr>
        <w:t>The project “</w:t>
      </w:r>
      <w:r w:rsidR="007375CB">
        <w:rPr>
          <w:rStyle w:val="Emphasis"/>
          <w:i w:val="0"/>
          <w:sz w:val="22"/>
          <w:szCs w:val="22"/>
          <w:lang w:val="en-GB"/>
        </w:rPr>
        <w:t xml:space="preserve">Fostering the culture of participation in regional reconciliation </w:t>
      </w:r>
      <w:r w:rsidR="00711010">
        <w:rPr>
          <w:rStyle w:val="Emphasis"/>
          <w:i w:val="0"/>
          <w:sz w:val="22"/>
          <w:szCs w:val="22"/>
          <w:lang w:val="en-GB"/>
        </w:rPr>
        <w:t xml:space="preserve">dialogue – District of reconciliation” is being implemented </w:t>
      </w:r>
      <w:r w:rsidR="00CD049C">
        <w:rPr>
          <w:rStyle w:val="Emphasis"/>
          <w:i w:val="0"/>
          <w:sz w:val="22"/>
          <w:szCs w:val="22"/>
          <w:lang w:val="en-GB"/>
        </w:rPr>
        <w:t xml:space="preserve">with the overall objective to </w:t>
      </w:r>
      <w:r w:rsidR="00A6156B">
        <w:rPr>
          <w:rStyle w:val="Emphasis"/>
          <w:i w:val="0"/>
          <w:sz w:val="22"/>
          <w:szCs w:val="22"/>
          <w:lang w:val="en-GB"/>
        </w:rPr>
        <w:t xml:space="preserve">enhance CSOs engagement in regional </w:t>
      </w:r>
      <w:r w:rsidR="00417D95">
        <w:rPr>
          <w:rStyle w:val="Emphasis"/>
          <w:i w:val="0"/>
          <w:sz w:val="22"/>
          <w:szCs w:val="22"/>
          <w:lang w:val="en-GB"/>
        </w:rPr>
        <w:t>initiatives promoting</w:t>
      </w:r>
      <w:r w:rsidR="004110E5">
        <w:rPr>
          <w:rStyle w:val="Emphasis"/>
          <w:i w:val="0"/>
          <w:sz w:val="22"/>
          <w:szCs w:val="22"/>
          <w:lang w:val="en-GB"/>
        </w:rPr>
        <w:t xml:space="preserve"> reconciliation and intercultural </w:t>
      </w:r>
      <w:r w:rsidR="0084698F">
        <w:rPr>
          <w:rStyle w:val="Emphasis"/>
          <w:i w:val="0"/>
          <w:sz w:val="22"/>
          <w:szCs w:val="22"/>
          <w:lang w:val="en-GB"/>
        </w:rPr>
        <w:t xml:space="preserve">dialogue among citizens and young people in particular through </w:t>
      </w:r>
      <w:r w:rsidR="005D4A24">
        <w:rPr>
          <w:rStyle w:val="Emphasis"/>
          <w:i w:val="0"/>
          <w:sz w:val="22"/>
          <w:szCs w:val="22"/>
          <w:lang w:val="en-GB"/>
        </w:rPr>
        <w:t xml:space="preserve">empowering bottom-up approaches and innovative forms </w:t>
      </w:r>
      <w:r w:rsidR="00207A68">
        <w:rPr>
          <w:rStyle w:val="Emphasis"/>
          <w:i w:val="0"/>
          <w:sz w:val="22"/>
          <w:szCs w:val="22"/>
          <w:lang w:val="en-GB"/>
        </w:rPr>
        <w:t xml:space="preserve">of youth cultural participation and activism. </w:t>
      </w:r>
      <w:r w:rsidR="006F5839">
        <w:rPr>
          <w:rStyle w:val="Emphasis"/>
          <w:i w:val="0"/>
          <w:sz w:val="22"/>
          <w:szCs w:val="22"/>
          <w:lang w:val="en-GB"/>
        </w:rPr>
        <w:t xml:space="preserve">The project implementation period is 36 </w:t>
      </w:r>
      <w:r w:rsidR="00E5719E">
        <w:rPr>
          <w:rStyle w:val="Emphasis"/>
          <w:i w:val="0"/>
          <w:sz w:val="22"/>
          <w:szCs w:val="22"/>
          <w:lang w:val="en-GB"/>
        </w:rPr>
        <w:t>months</w:t>
      </w:r>
      <w:r w:rsidR="00065B03">
        <w:rPr>
          <w:rStyle w:val="Emphasis"/>
          <w:i w:val="0"/>
          <w:sz w:val="22"/>
          <w:szCs w:val="22"/>
          <w:lang w:val="en-GB"/>
        </w:rPr>
        <w:t xml:space="preserve"> and </w:t>
      </w:r>
      <w:r w:rsidR="006A5720">
        <w:rPr>
          <w:rStyle w:val="Emphasis"/>
          <w:i w:val="0"/>
          <w:sz w:val="22"/>
          <w:szCs w:val="22"/>
          <w:lang w:val="en-GB"/>
        </w:rPr>
        <w:t xml:space="preserve">the purpose of this contract is to </w:t>
      </w:r>
      <w:r w:rsidR="006E4E76">
        <w:rPr>
          <w:rStyle w:val="Emphasis"/>
          <w:i w:val="0"/>
          <w:sz w:val="22"/>
          <w:szCs w:val="22"/>
          <w:lang w:val="en-GB"/>
        </w:rPr>
        <w:t xml:space="preserve">implement </w:t>
      </w:r>
      <w:r w:rsidR="00393098">
        <w:rPr>
          <w:rStyle w:val="Emphasis"/>
          <w:i w:val="0"/>
          <w:sz w:val="22"/>
          <w:szCs w:val="22"/>
          <w:lang w:val="en-GB"/>
        </w:rPr>
        <w:t>procurement procedures in accordance with PRAG rules during the implementation of the project.</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6639E9E8" w14:textId="47E814C6" w:rsidR="00DA0ABA" w:rsidRPr="00B33EE6" w:rsidRDefault="00364564" w:rsidP="0044481B">
      <w:pPr>
        <w:ind w:left="709" w:hanging="349"/>
        <w:outlineLvl w:val="0"/>
        <w:rPr>
          <w:rStyle w:val="Emphasis"/>
          <w:i w:val="0"/>
          <w:sz w:val="22"/>
          <w:szCs w:val="22"/>
          <w:lang w:val="en-GB"/>
        </w:rPr>
      </w:pPr>
      <w:r w:rsidRPr="0044481B">
        <w:rPr>
          <w:rStyle w:val="Emphasis"/>
          <w:i w:val="0"/>
          <w:sz w:val="22"/>
          <w:szCs w:val="22"/>
          <w:lang w:val="en-GB"/>
        </w:rPr>
        <w:t>O</w:t>
      </w:r>
      <w:r w:rsidR="00DA0ABA" w:rsidRPr="0044481B">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48DB690A" w:rsidR="00971962" w:rsidRPr="004D27DB" w:rsidRDefault="00971962" w:rsidP="00971962">
      <w:pPr>
        <w:pStyle w:val="Blockquote"/>
        <w:jc w:val="both"/>
        <w:rPr>
          <w:sz w:val="22"/>
          <w:szCs w:val="22"/>
          <w:lang w:val="en-GB"/>
        </w:rPr>
      </w:pPr>
      <w:r w:rsidRPr="004D27DB">
        <w:rPr>
          <w:sz w:val="22"/>
          <w:szCs w:val="22"/>
          <w:lang w:val="en-GB"/>
        </w:rPr>
        <w:t xml:space="preserve">EUR </w:t>
      </w:r>
      <w:r w:rsidR="00F43288" w:rsidRPr="004D27DB">
        <w:rPr>
          <w:sz w:val="22"/>
          <w:szCs w:val="22"/>
          <w:lang w:val="en-GB"/>
        </w:rPr>
        <w:t>15,200.00</w:t>
      </w:r>
    </w:p>
    <w:p w14:paraId="6C843D95" w14:textId="6AAE3041" w:rsidR="006F5FD0" w:rsidRPr="00B33EE6" w:rsidRDefault="00B85BBB">
      <w:pPr>
        <w:pStyle w:val="Blockquote"/>
        <w:jc w:val="both"/>
        <w:rPr>
          <w:sz w:val="22"/>
          <w:szCs w:val="22"/>
          <w:lang w:val="en-GB"/>
        </w:rPr>
      </w:pPr>
      <w:r>
        <w:rPr>
          <w:noProof/>
          <w:snapToGrid/>
          <w:sz w:val="22"/>
          <w:szCs w:val="22"/>
          <w:lang w:val="en-GB"/>
        </w:rPr>
        <w:lastRenderedPageBreak/>
        <mc:AlternateContent>
          <mc:Choice Requires="wps">
            <w:drawing>
              <wp:anchor distT="0" distB="0" distL="114300" distR="114300" simplePos="0" relativeHeight="251656704" behindDoc="0" locked="0" layoutInCell="0" allowOverlap="1" wp14:anchorId="21854D6C" wp14:editId="1706606F">
                <wp:simplePos x="0" y="0"/>
                <wp:positionH relativeFrom="column">
                  <wp:posOffset>-13335</wp:posOffset>
                </wp:positionH>
                <wp:positionV relativeFrom="paragraph">
                  <wp:posOffset>222885</wp:posOffset>
                </wp:positionV>
                <wp:extent cx="5943600" cy="635"/>
                <wp:effectExtent l="0" t="0" r="0" b="0"/>
                <wp:wrapNone/>
                <wp:docPr id="70604085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F25DD"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653F6ECF" w14:textId="35D09188" w:rsidR="00B9793F" w:rsidRPr="00FF50AE" w:rsidRDefault="00B9793F" w:rsidP="00FF50AE">
      <w:pPr>
        <w:pStyle w:val="FootnoteText"/>
        <w:ind w:firstLine="426"/>
        <w:rPr>
          <w:b/>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4D8AD5AD" w14:textId="21CD1760" w:rsidR="00B9793F" w:rsidRPr="00525840" w:rsidRDefault="00B9793F" w:rsidP="006E1BD0">
      <w:pPr>
        <w:pStyle w:val="paragraph"/>
        <w:spacing w:before="0" w:beforeAutospacing="0" w:after="0" w:afterAutospacing="0"/>
        <w:ind w:right="270"/>
        <w:jc w:val="both"/>
        <w:textAlignment w:val="baseline"/>
        <w:rPr>
          <w:rStyle w:val="eop"/>
          <w:snapToGrid w:val="0"/>
          <w:sz w:val="22"/>
          <w:szCs w:val="22"/>
          <w:lang w:val="en-US" w:eastAsia="en-US"/>
        </w:rPr>
      </w:pPr>
    </w:p>
    <w:p w14:paraId="04E947DD" w14:textId="0DF7877C" w:rsidR="00B9793F" w:rsidRPr="002645AD"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2645AD">
        <w:rPr>
          <w:iCs/>
          <w:sz w:val="22"/>
          <w:szCs w:val="22"/>
          <w:lang w:val="en-IE"/>
        </w:rPr>
        <w:t>The legal basis of this procedure is &lt;Regulation (EU) No [</w:t>
      </w:r>
      <w:r w:rsidR="00445514" w:rsidRPr="002645AD">
        <w:rPr>
          <w:iCs/>
          <w:sz w:val="22"/>
          <w:szCs w:val="22"/>
          <w:lang w:val="en-IE"/>
        </w:rPr>
        <w:t>1529</w:t>
      </w:r>
      <w:r w:rsidRPr="002645AD">
        <w:rPr>
          <w:iCs/>
          <w:sz w:val="22"/>
          <w:szCs w:val="22"/>
          <w:lang w:val="en-IE"/>
        </w:rPr>
        <w:t>] establishing the Instrument for Pre-accession Assistance (IPA III)&gt;. S</w:t>
      </w:r>
      <w:r w:rsidRPr="002645AD">
        <w:rPr>
          <w:iCs/>
          <w:lang w:val="en-IE"/>
        </w:rPr>
        <w:t>ee Annex A2 of the practical guide.</w:t>
      </w:r>
    </w:p>
    <w:p w14:paraId="484BDFBA" w14:textId="44DBDC78" w:rsidR="00B9793F" w:rsidRPr="00647A2C" w:rsidRDefault="00B9793F" w:rsidP="00647A2C">
      <w:pPr>
        <w:pStyle w:val="paragraph"/>
        <w:spacing w:before="0" w:beforeAutospacing="0" w:after="0" w:afterAutospacing="0"/>
        <w:ind w:left="426"/>
        <w:jc w:val="both"/>
        <w:textAlignment w:val="baseline"/>
        <w:rPr>
          <w:rStyle w:val="eop"/>
          <w:iCs/>
          <w:sz w:val="22"/>
          <w:szCs w:val="22"/>
          <w:lang w:val="en-IE"/>
        </w:rPr>
      </w:pPr>
      <w:r w:rsidRPr="002645AD">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445514" w:rsidRPr="002645AD">
        <w:rPr>
          <w:iCs/>
          <w:sz w:val="22"/>
          <w:szCs w:val="22"/>
          <w:lang w:val="en-IE"/>
        </w:rPr>
        <w:t>1</w:t>
      </w:r>
      <w:r w:rsidRPr="002645AD">
        <w:rPr>
          <w:iCs/>
          <w:sz w:val="22"/>
          <w:szCs w:val="22"/>
          <w:lang w:val="en-IE"/>
        </w:rPr>
        <w:t xml:space="preserve"> of Regulation (EU) No [</w:t>
      </w:r>
      <w:r w:rsidR="00445514" w:rsidRPr="002645AD">
        <w:rPr>
          <w:iCs/>
          <w:sz w:val="22"/>
          <w:szCs w:val="22"/>
          <w:lang w:val="en-IE"/>
        </w:rPr>
        <w:t>1529</w:t>
      </w:r>
      <w:r w:rsidRPr="002645AD">
        <w:rPr>
          <w:iCs/>
          <w:sz w:val="22"/>
          <w:szCs w:val="22"/>
          <w:lang w:val="en-IE"/>
        </w:rPr>
        <w:t xml:space="preserve">]  establishing the Instrument for Pre-accession Assistance (IPA III). </w:t>
      </w:r>
    </w:p>
    <w:p w14:paraId="21D2BECF" w14:textId="77777777" w:rsidR="00B9793F" w:rsidRPr="006E1BD0"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519FD253" w14:textId="7D884A71" w:rsidR="00E1782A" w:rsidRPr="00B33EE6" w:rsidRDefault="00E1782A" w:rsidP="008D30C8">
      <w:pPr>
        <w:pStyle w:val="Blockquote"/>
        <w:ind w:left="0"/>
        <w:jc w:val="both"/>
        <w:rPr>
          <w:i/>
          <w:sz w:val="22"/>
          <w:szCs w:val="22"/>
          <w:lang w:val="en-GB"/>
        </w:rPr>
      </w:pPr>
      <w:r w:rsidRPr="00B33EE6">
        <w:rPr>
          <w:sz w:val="22"/>
          <w:szCs w:val="22"/>
          <w:lang w:val="en-GB"/>
        </w:rPr>
        <w:t xml:space="preserve">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BF0554C" w:rsidR="006F5FD0" w:rsidRPr="00B33EE6" w:rsidRDefault="00B85BBB">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11F7E59B" wp14:editId="79097C3E">
                <wp:simplePos x="0" y="0"/>
                <wp:positionH relativeFrom="column">
                  <wp:posOffset>19050</wp:posOffset>
                </wp:positionH>
                <wp:positionV relativeFrom="paragraph">
                  <wp:posOffset>26035</wp:posOffset>
                </wp:positionV>
                <wp:extent cx="5943600" cy="635"/>
                <wp:effectExtent l="0" t="0" r="0" b="0"/>
                <wp:wrapNone/>
                <wp:docPr id="50640346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603C6"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5B6F51B" w:rsidR="006F5FD0" w:rsidRPr="00B33EE6" w:rsidRDefault="00631BD4" w:rsidP="00571687">
      <w:pPr>
        <w:pStyle w:val="Blockquote"/>
        <w:jc w:val="both"/>
        <w:rPr>
          <w:i/>
          <w:sz w:val="22"/>
          <w:szCs w:val="22"/>
          <w:lang w:val="en-GB"/>
        </w:rPr>
      </w:pPr>
      <w:r>
        <w:rPr>
          <w:rStyle w:val="Emphasis"/>
          <w:i w:val="0"/>
          <w:sz w:val="22"/>
          <w:szCs w:val="22"/>
          <w:lang w:val="en-GB"/>
        </w:rPr>
        <w:t>18.04.2025.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1AD093A4" w:rsidR="006F5FD0" w:rsidRPr="00B33EE6" w:rsidRDefault="00631BD4" w:rsidP="00571687">
      <w:pPr>
        <w:pStyle w:val="Blockquote"/>
        <w:jc w:val="both"/>
        <w:rPr>
          <w:i/>
          <w:sz w:val="22"/>
          <w:szCs w:val="22"/>
          <w:lang w:val="en-GB"/>
        </w:rPr>
      </w:pPr>
      <w:r>
        <w:rPr>
          <w:rStyle w:val="Emphasis"/>
          <w:i w:val="0"/>
          <w:sz w:val="22"/>
          <w:szCs w:val="22"/>
          <w:lang w:val="en-GB"/>
        </w:rPr>
        <w:t>28 months</w:t>
      </w:r>
    </w:p>
    <w:p w14:paraId="29CC7DD8" w14:textId="4020F63C" w:rsidR="006F5FD0" w:rsidRPr="00B33EE6" w:rsidRDefault="00B85BBB">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6E3015B7" wp14:editId="79FED43C">
                <wp:simplePos x="0" y="0"/>
                <wp:positionH relativeFrom="column">
                  <wp:posOffset>0</wp:posOffset>
                </wp:positionH>
                <wp:positionV relativeFrom="paragraph">
                  <wp:posOffset>152400</wp:posOffset>
                </wp:positionV>
                <wp:extent cx="5943600" cy="635"/>
                <wp:effectExtent l="0" t="0" r="0" b="0"/>
                <wp:wrapNone/>
                <wp:docPr id="184600493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55E9E1"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3C8E985E" w14:textId="410E7334" w:rsidR="00A66FE8" w:rsidRDefault="006F5FD0" w:rsidP="002916C5">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4A3BC96C" w14:textId="77777777" w:rsidR="004916FF" w:rsidRPr="006E1BD0" w:rsidRDefault="004916FF">
      <w:pPr>
        <w:pStyle w:val="Blockquote"/>
        <w:jc w:val="both"/>
        <w:rPr>
          <w:sz w:val="22"/>
          <w:szCs w:val="22"/>
        </w:rPr>
      </w:pPr>
    </w:p>
    <w:p w14:paraId="4435C5EE" w14:textId="5A1D5F69" w:rsidR="006F5FD0" w:rsidRPr="00B83783" w:rsidRDefault="00571687" w:rsidP="00B83783">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5DF71D77" w14:textId="3220DCEE" w:rsidR="006F5FD0" w:rsidRPr="009F60AB" w:rsidRDefault="00E959A8" w:rsidP="009F60AB">
      <w:pPr>
        <w:pStyle w:val="Blockquote"/>
        <w:numPr>
          <w:ilvl w:val="0"/>
          <w:numId w:val="45"/>
        </w:numPr>
        <w:jc w:val="both"/>
        <w:rPr>
          <w:sz w:val="22"/>
          <w:szCs w:val="22"/>
          <w:lang w:val="en-GB"/>
        </w:rPr>
      </w:pPr>
      <w:r w:rsidRPr="00E959A8">
        <w:rPr>
          <w:sz w:val="22"/>
          <w:szCs w:val="22"/>
          <w:lang w:val="en-GB"/>
        </w:rPr>
        <w:t>The tenderer must have an average annual turnover of at least 50% of the annualized maximum budget of the contract over the past three years.</w:t>
      </w:r>
      <w:r w:rsidR="006F5FD0" w:rsidRPr="009F60AB">
        <w:rPr>
          <w:sz w:val="22"/>
          <w:szCs w:val="22"/>
          <w:lang w:val="en-GB"/>
        </w:rPr>
        <w:t xml:space="preserve"> </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0CB134FA" w14:textId="21D1620A" w:rsidR="006F5FD0" w:rsidRPr="00B33EE6" w:rsidRDefault="00BE08EC" w:rsidP="005D795E">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054A1BDD" w14:textId="2A116941" w:rsidR="006F5FD0" w:rsidRPr="003F1386" w:rsidRDefault="00E00E70" w:rsidP="009F60AB">
      <w:pPr>
        <w:pStyle w:val="Blockquote"/>
        <w:numPr>
          <w:ilvl w:val="0"/>
          <w:numId w:val="45"/>
        </w:numPr>
        <w:jc w:val="both"/>
        <w:rPr>
          <w:sz w:val="22"/>
          <w:szCs w:val="22"/>
          <w:lang w:val="en-GB"/>
        </w:rPr>
      </w:pPr>
      <w:r w:rsidRPr="00E00E70">
        <w:rPr>
          <w:sz w:val="22"/>
          <w:szCs w:val="22"/>
        </w:rPr>
        <w:t xml:space="preserve">The tenderer must </w:t>
      </w:r>
      <w:r w:rsidR="007945A1">
        <w:rPr>
          <w:sz w:val="22"/>
          <w:szCs w:val="22"/>
        </w:rPr>
        <w:t>have</w:t>
      </w:r>
      <w:r w:rsidRPr="00E00E70">
        <w:rPr>
          <w:sz w:val="22"/>
          <w:szCs w:val="22"/>
        </w:rPr>
        <w:t xml:space="preserve"> access to a pool of qualified experts in </w:t>
      </w:r>
      <w:r w:rsidR="007945A1">
        <w:rPr>
          <w:sz w:val="22"/>
          <w:szCs w:val="22"/>
        </w:rPr>
        <w:t>project implementation</w:t>
      </w:r>
      <w:r w:rsidR="004F2C5D">
        <w:rPr>
          <w:sz w:val="22"/>
          <w:szCs w:val="22"/>
        </w:rPr>
        <w:t>, drafting of procurement documents, or similar field</w:t>
      </w:r>
      <w:r w:rsidRPr="00E00E70">
        <w:rPr>
          <w:sz w:val="22"/>
          <w:szCs w:val="22"/>
        </w:rPr>
        <w:t>, through contracts, to ensure the timely and effective delivery of services.</w:t>
      </w:r>
      <w:r w:rsidR="00297C08" w:rsidRPr="00297C08">
        <w:rPr>
          <w:sz w:val="22"/>
          <w:szCs w:val="22"/>
          <w:lang w:val="en-GB"/>
        </w:rPr>
        <w:t xml:space="preserve"> </w:t>
      </w:r>
    </w:p>
    <w:p w14:paraId="3EE22D0E" w14:textId="2F8E0704" w:rsidR="00235A71" w:rsidRPr="00B33EE6" w:rsidRDefault="00235A71" w:rsidP="00E147D3">
      <w:pPr>
        <w:pStyle w:val="Blockquote"/>
        <w:spacing w:before="0"/>
        <w:ind w:left="720" w:right="357"/>
        <w:jc w:val="both"/>
        <w:rPr>
          <w:sz w:val="22"/>
          <w:szCs w:val="22"/>
          <w:lang w:val="en-GB"/>
        </w:rPr>
      </w:pPr>
    </w:p>
    <w:p w14:paraId="4B690E3C" w14:textId="451B9836" w:rsidR="00BE783C" w:rsidRPr="00BD2050" w:rsidRDefault="00571687" w:rsidP="00BD2050">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CD770B">
        <w:rPr>
          <w:sz w:val="22"/>
          <w:szCs w:val="22"/>
          <w:lang w:val="en-GB"/>
        </w:rPr>
        <w:t>last three</w:t>
      </w:r>
      <w:r w:rsidR="00862885" w:rsidRPr="00CD770B">
        <w:rPr>
          <w:sz w:val="22"/>
          <w:szCs w:val="22"/>
          <w:lang w:val="en-GB"/>
        </w:rPr>
        <w:t xml:space="preserve"> years </w:t>
      </w:r>
      <w:r w:rsidR="00771F97" w:rsidRPr="00CD770B">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1853E77F" w14:textId="16034E8D" w:rsidR="001661F7" w:rsidRPr="00B33EE6" w:rsidRDefault="000D5547" w:rsidP="009F60AB">
      <w:pPr>
        <w:pStyle w:val="Blockquote"/>
        <w:numPr>
          <w:ilvl w:val="0"/>
          <w:numId w:val="45"/>
        </w:numPr>
        <w:jc w:val="both"/>
        <w:rPr>
          <w:sz w:val="22"/>
          <w:szCs w:val="22"/>
          <w:lang w:val="en-GB"/>
        </w:rPr>
      </w:pPr>
      <w:r w:rsidRPr="000D5547">
        <w:rPr>
          <w:sz w:val="22"/>
          <w:szCs w:val="22"/>
          <w:lang w:val="en-GB"/>
        </w:rPr>
        <w:t>The tenderer has successfully completed at least one project in the field of</w:t>
      </w:r>
      <w:r w:rsidR="00C017FF">
        <w:rPr>
          <w:sz w:val="22"/>
          <w:szCs w:val="22"/>
          <w:lang w:val="en-GB"/>
        </w:rPr>
        <w:t xml:space="preserve"> </w:t>
      </w:r>
      <w:r w:rsidR="00FD342C">
        <w:rPr>
          <w:sz w:val="22"/>
          <w:szCs w:val="22"/>
        </w:rPr>
        <w:t>project implementation, drafting of procurement documents, or similar field</w:t>
      </w:r>
      <w:r w:rsidR="00FD342C">
        <w:rPr>
          <w:sz w:val="22"/>
          <w:szCs w:val="22"/>
          <w:lang w:val="en-GB"/>
        </w:rPr>
        <w:t xml:space="preserve"> </w:t>
      </w:r>
      <w:r w:rsidR="00C017FF" w:rsidRPr="00B33EE6">
        <w:rPr>
          <w:sz w:val="22"/>
          <w:szCs w:val="22"/>
          <w:lang w:val="en-GB"/>
        </w:rPr>
        <w:t>which was implemented at any moment during the</w:t>
      </w:r>
      <w:r w:rsidR="00C017FF">
        <w:rPr>
          <w:sz w:val="22"/>
          <w:szCs w:val="22"/>
          <w:lang w:val="en-GB"/>
        </w:rPr>
        <w:t xml:space="preserve"> previous three years.</w:t>
      </w:r>
      <w:r w:rsidR="001661F7" w:rsidRPr="00B33EE6">
        <w:rPr>
          <w:sz w:val="22"/>
          <w:szCs w:val="22"/>
          <w:lang w:val="en-GB"/>
        </w:rPr>
        <w:t xml:space="preserve"> </w:t>
      </w:r>
    </w:p>
    <w:p w14:paraId="75E4482E" w14:textId="305D18D9" w:rsidR="00235A71" w:rsidRPr="00B33EE6" w:rsidRDefault="00B644B9" w:rsidP="005D795E">
      <w:pPr>
        <w:pStyle w:val="Blockquote"/>
        <w:tabs>
          <w:tab w:val="left" w:pos="284"/>
        </w:tabs>
        <w:jc w:val="both"/>
        <w:rPr>
          <w:sz w:val="22"/>
          <w:szCs w:val="22"/>
          <w:lang w:val="en-GB"/>
        </w:rPr>
      </w:pPr>
      <w:r w:rsidRPr="00B644B9">
        <w:rPr>
          <w:sz w:val="22"/>
          <w:szCs w:val="22"/>
          <w:lang w:val="en-GB"/>
        </w:rPr>
        <w:lastRenderedPageBreak/>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45BC48E1" w:rsidR="006F5FD0" w:rsidRPr="00B33EE6" w:rsidRDefault="00B85BBB">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45BE0657" wp14:editId="4CC1E6B3">
                <wp:simplePos x="0" y="0"/>
                <wp:positionH relativeFrom="column">
                  <wp:posOffset>0</wp:posOffset>
                </wp:positionH>
                <wp:positionV relativeFrom="paragraph">
                  <wp:posOffset>152400</wp:posOffset>
                </wp:positionV>
                <wp:extent cx="5943600" cy="635"/>
                <wp:effectExtent l="0" t="0" r="0" b="0"/>
                <wp:wrapNone/>
                <wp:docPr id="197654544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C70E88"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323016" w:rsidP="004D5EDB">
      <w:pPr>
        <w:pStyle w:val="Blockquote"/>
        <w:jc w:val="both"/>
        <w:rPr>
          <w:sz w:val="22"/>
          <w:szCs w:val="22"/>
          <w:lang w:val="en-GB"/>
        </w:rPr>
      </w:pPr>
      <w:hyperlink r:id="rId9" w:anchor="Annexes-AnnexesA(Ch.2):General" w:history="1">
        <w:r w:rsidRPr="00C14D56">
          <w:rPr>
            <w:rStyle w:val="Hyperlink"/>
            <w:sz w:val="22"/>
            <w:szCs w:val="22"/>
          </w:rPr>
          <w:t>https://wikis.ec.europa.eu/display/ExactExternalWiki/Annexes#Annexes-AnnexesA(Ch.2):General</w:t>
        </w:r>
      </w:hyperlink>
      <w:r>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lastRenderedPageBreak/>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5841300B"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w:t>
      </w:r>
      <w:r w:rsidRPr="00804BD1">
        <w:rPr>
          <w:lang w:val="en-GB"/>
        </w:rPr>
        <w:t>expressed in EUR</w:t>
      </w:r>
      <w:r w:rsidR="00454A01" w:rsidRPr="00804BD1">
        <w:rPr>
          <w:lang w:val="en-GB"/>
        </w:rPr>
        <w:t>.</w:t>
      </w:r>
      <w:r w:rsidRPr="00804BD1">
        <w:rPr>
          <w:lang w:val="en-GB"/>
        </w:rPr>
        <w:t xml:space="preserve"> If applicable</w:t>
      </w:r>
      <w:r>
        <w:rPr>
          <w:lang w:val="en-GB"/>
        </w:rPr>
        <w:t xml:space="preserve">, where a candidate refers to amounts originally expressed in a different currency, the </w:t>
      </w:r>
      <w:r w:rsidRPr="00804BD1">
        <w:rPr>
          <w:lang w:val="en-GB"/>
        </w:rPr>
        <w:t>conversion to EUR shall</w:t>
      </w:r>
      <w:r>
        <w:rPr>
          <w:lang w:val="en-GB"/>
        </w:rPr>
        <w:t xml:space="preserve"> be made in accordance with the InforEuro exchange rate </w:t>
      </w:r>
      <w:r w:rsidRPr="000A127C">
        <w:rPr>
          <w:lang w:val="en-GB"/>
        </w:rPr>
        <w:t xml:space="preserve">of </w:t>
      </w:r>
      <w:r w:rsidR="0008261E" w:rsidRPr="000A127C">
        <w:rPr>
          <w:b/>
          <w:lang w:val="en-GB"/>
        </w:rPr>
        <w:t>April</w:t>
      </w:r>
      <w:r w:rsidRPr="000A127C">
        <w:rPr>
          <w:b/>
          <w:lang w:val="en-GB"/>
        </w:rPr>
        <w:t xml:space="preserve"> </w:t>
      </w:r>
      <w:r w:rsidR="0008261E" w:rsidRPr="000A127C">
        <w:rPr>
          <w:b/>
          <w:lang w:val="en-GB"/>
        </w:rPr>
        <w:t>2025</w:t>
      </w:r>
      <w:r w:rsidRPr="000A127C">
        <w:rPr>
          <w:b/>
          <w:lang w:val="en-GB"/>
        </w:rPr>
        <w:t xml:space="preserve"> </w:t>
      </w:r>
      <w:r w:rsidRPr="000A127C">
        <w:rPr>
          <w:lang w:val="en-GB"/>
        </w:rPr>
        <w:t>of the applicable InforEuro exchange rate, which</w:t>
      </w:r>
      <w:r>
        <w:rPr>
          <w:lang w:val="en-GB"/>
        </w:rPr>
        <w:t xml:space="preserve"> can be found at the following address: </w:t>
      </w:r>
      <w:hyperlink r:id="rId10" w:history="1">
        <w:r w:rsidRPr="00AB6029">
          <w:rPr>
            <w:rStyle w:val="Hyperlink"/>
            <w:lang w:val="en-GB"/>
          </w:rPr>
          <w:t>http://ec.europa.eu/budget/graphs/inforeuro.html</w:t>
        </w:r>
      </w:hyperlink>
      <w:r>
        <w:rPr>
          <w:lang w:val="en-GB"/>
        </w:rPr>
        <w:t>.</w:t>
      </w:r>
    </w:p>
    <w:p w14:paraId="4A4186FD" w14:textId="77777777" w:rsidR="00AF412E" w:rsidRDefault="00AF412E" w:rsidP="00235A71">
      <w:pPr>
        <w:pStyle w:val="Blockquote"/>
        <w:jc w:val="both"/>
        <w:rPr>
          <w:sz w:val="22"/>
          <w:szCs w:val="22"/>
          <w:lang w:val="en-GB"/>
        </w:rPr>
      </w:pPr>
    </w:p>
    <w:p w14:paraId="2AC4BD41" w14:textId="77777777" w:rsidR="007F6AA9" w:rsidRPr="00F9055E" w:rsidRDefault="007F6AA9" w:rsidP="00804BD1">
      <w:pPr>
        <w:pStyle w:val="Blockquote"/>
        <w:ind w:left="0"/>
        <w:jc w:val="both"/>
        <w:rPr>
          <w:sz w:val="22"/>
          <w:szCs w:val="22"/>
          <w:lang w:val="en-GB"/>
        </w:rPr>
      </w:pPr>
    </w:p>
    <w:sectPr w:rsidR="007F6AA9" w:rsidRPr="00F9055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886BE" w14:textId="77777777" w:rsidR="002F4AFD" w:rsidRDefault="002F4AFD">
      <w:r>
        <w:separator/>
      </w:r>
    </w:p>
  </w:endnote>
  <w:endnote w:type="continuationSeparator" w:id="0">
    <w:p w14:paraId="22FE78CF" w14:textId="77777777" w:rsidR="002F4AFD" w:rsidRDefault="002F4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7AA8888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14D56">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14D56">
      <w:rPr>
        <w:rStyle w:val="PageNumber"/>
        <w:noProof/>
        <w:sz w:val="18"/>
        <w:szCs w:val="18"/>
        <w:lang w:val="en-GB"/>
      </w:rPr>
      <w:t>12</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74F0F" w14:textId="77777777" w:rsidR="002F4AFD" w:rsidRDefault="002F4AFD">
      <w:r>
        <w:separator/>
      </w:r>
    </w:p>
  </w:footnote>
  <w:footnote w:type="continuationSeparator" w:id="0">
    <w:p w14:paraId="75047052" w14:textId="77777777" w:rsidR="002F4AFD" w:rsidRDefault="002F4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8AE0C36"/>
    <w:multiLevelType w:val="hybridMultilevel"/>
    <w:tmpl w:val="2966808C"/>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9793385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96820010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71175967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83483569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34736317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73134303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077434351">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688273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90764686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162694703">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915819456">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82607441">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134589366">
    <w:abstractNumId w:val="17"/>
  </w:num>
  <w:num w:numId="14" w16cid:durableId="180010857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592932804">
    <w:abstractNumId w:val="13"/>
  </w:num>
  <w:num w:numId="16" w16cid:durableId="539629359">
    <w:abstractNumId w:val="15"/>
  </w:num>
  <w:num w:numId="17" w16cid:durableId="383455865">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472528686">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4077987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02630915">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474682958">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644512889">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64018667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07893083">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326330522">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9450488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06903835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886914564">
    <w:abstractNumId w:val="27"/>
  </w:num>
  <w:num w:numId="29" w16cid:durableId="1786579644">
    <w:abstractNumId w:val="27"/>
  </w:num>
  <w:num w:numId="30" w16cid:durableId="960502751">
    <w:abstractNumId w:val="27"/>
  </w:num>
  <w:num w:numId="31" w16cid:durableId="1772507837">
    <w:abstractNumId w:val="27"/>
  </w:num>
  <w:num w:numId="32" w16cid:durableId="140425463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039575905">
    <w:abstractNumId w:val="36"/>
  </w:num>
  <w:num w:numId="34" w16cid:durableId="699358470">
    <w:abstractNumId w:val="41"/>
  </w:num>
  <w:num w:numId="35" w16cid:durableId="138351378">
    <w:abstractNumId w:val="35"/>
  </w:num>
  <w:num w:numId="36" w16cid:durableId="1336225823">
    <w:abstractNumId w:val="33"/>
  </w:num>
  <w:num w:numId="37" w16cid:durableId="1638023656">
    <w:abstractNumId w:val="37"/>
  </w:num>
  <w:num w:numId="38" w16cid:durableId="1579024573">
    <w:abstractNumId w:val="39"/>
  </w:num>
  <w:num w:numId="39" w16cid:durableId="792989674">
    <w:abstractNumId w:val="44"/>
  </w:num>
  <w:num w:numId="40" w16cid:durableId="1807896918">
    <w:abstractNumId w:val="45"/>
  </w:num>
  <w:num w:numId="41" w16cid:durableId="1435782758">
    <w:abstractNumId w:val="40"/>
  </w:num>
  <w:num w:numId="42" w16cid:durableId="1156190659">
    <w:abstractNumId w:val="43"/>
  </w:num>
  <w:num w:numId="43" w16cid:durableId="1461457159">
    <w:abstractNumId w:val="38"/>
  </w:num>
  <w:num w:numId="44" w16cid:durableId="970130479">
    <w:abstractNumId w:val="34"/>
  </w:num>
  <w:num w:numId="45" w16cid:durableId="152031311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65B03"/>
    <w:rsid w:val="00080900"/>
    <w:rsid w:val="0008261E"/>
    <w:rsid w:val="00087A72"/>
    <w:rsid w:val="00095030"/>
    <w:rsid w:val="000A0D57"/>
    <w:rsid w:val="000A127C"/>
    <w:rsid w:val="000A3758"/>
    <w:rsid w:val="000B693E"/>
    <w:rsid w:val="000B774E"/>
    <w:rsid w:val="000B7C91"/>
    <w:rsid w:val="000C1101"/>
    <w:rsid w:val="000C1522"/>
    <w:rsid w:val="000D1732"/>
    <w:rsid w:val="000D3847"/>
    <w:rsid w:val="000D3EBF"/>
    <w:rsid w:val="000D5547"/>
    <w:rsid w:val="000E4709"/>
    <w:rsid w:val="000F0F6C"/>
    <w:rsid w:val="000F1340"/>
    <w:rsid w:val="000F5DEF"/>
    <w:rsid w:val="0010162C"/>
    <w:rsid w:val="00102017"/>
    <w:rsid w:val="00105302"/>
    <w:rsid w:val="0013314C"/>
    <w:rsid w:val="0014405E"/>
    <w:rsid w:val="00145CFA"/>
    <w:rsid w:val="00150687"/>
    <w:rsid w:val="00160C41"/>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6AB7"/>
    <w:rsid w:val="001F780C"/>
    <w:rsid w:val="00201320"/>
    <w:rsid w:val="00207A68"/>
    <w:rsid w:val="00212656"/>
    <w:rsid w:val="00213E14"/>
    <w:rsid w:val="00215403"/>
    <w:rsid w:val="00216179"/>
    <w:rsid w:val="00226829"/>
    <w:rsid w:val="00226B34"/>
    <w:rsid w:val="00233B9D"/>
    <w:rsid w:val="00233DDA"/>
    <w:rsid w:val="00235A71"/>
    <w:rsid w:val="002413EA"/>
    <w:rsid w:val="00243849"/>
    <w:rsid w:val="002575AA"/>
    <w:rsid w:val="002645AD"/>
    <w:rsid w:val="00266EB9"/>
    <w:rsid w:val="002753AD"/>
    <w:rsid w:val="002916C5"/>
    <w:rsid w:val="00291AEE"/>
    <w:rsid w:val="00297C08"/>
    <w:rsid w:val="002B2145"/>
    <w:rsid w:val="002D266E"/>
    <w:rsid w:val="002D4121"/>
    <w:rsid w:val="002E1B83"/>
    <w:rsid w:val="002E2635"/>
    <w:rsid w:val="002E7D33"/>
    <w:rsid w:val="002F4AFD"/>
    <w:rsid w:val="002F4E69"/>
    <w:rsid w:val="003045C3"/>
    <w:rsid w:val="00305C27"/>
    <w:rsid w:val="00313F6B"/>
    <w:rsid w:val="00322D52"/>
    <w:rsid w:val="00323016"/>
    <w:rsid w:val="003232ED"/>
    <w:rsid w:val="00323BDD"/>
    <w:rsid w:val="003262FC"/>
    <w:rsid w:val="00326B16"/>
    <w:rsid w:val="00327E0B"/>
    <w:rsid w:val="00330261"/>
    <w:rsid w:val="003378F6"/>
    <w:rsid w:val="00342E7F"/>
    <w:rsid w:val="00347673"/>
    <w:rsid w:val="003550EB"/>
    <w:rsid w:val="003574F5"/>
    <w:rsid w:val="00357E25"/>
    <w:rsid w:val="00362824"/>
    <w:rsid w:val="00364564"/>
    <w:rsid w:val="003670BA"/>
    <w:rsid w:val="003717BC"/>
    <w:rsid w:val="003861D9"/>
    <w:rsid w:val="0038633F"/>
    <w:rsid w:val="00386E96"/>
    <w:rsid w:val="0038795F"/>
    <w:rsid w:val="0038796E"/>
    <w:rsid w:val="0039147E"/>
    <w:rsid w:val="00393098"/>
    <w:rsid w:val="0039347D"/>
    <w:rsid w:val="003947E7"/>
    <w:rsid w:val="00397073"/>
    <w:rsid w:val="003A3DCE"/>
    <w:rsid w:val="003A4357"/>
    <w:rsid w:val="003B1B35"/>
    <w:rsid w:val="003C0359"/>
    <w:rsid w:val="003C1515"/>
    <w:rsid w:val="003D16FB"/>
    <w:rsid w:val="003D6CAD"/>
    <w:rsid w:val="003E782D"/>
    <w:rsid w:val="003F1386"/>
    <w:rsid w:val="003F21FB"/>
    <w:rsid w:val="00400098"/>
    <w:rsid w:val="00400F6B"/>
    <w:rsid w:val="0040360C"/>
    <w:rsid w:val="00406418"/>
    <w:rsid w:val="004108A4"/>
    <w:rsid w:val="004110E5"/>
    <w:rsid w:val="00417D95"/>
    <w:rsid w:val="00420D6F"/>
    <w:rsid w:val="0042129D"/>
    <w:rsid w:val="00424124"/>
    <w:rsid w:val="00426096"/>
    <w:rsid w:val="0043533D"/>
    <w:rsid w:val="0044481B"/>
    <w:rsid w:val="00445514"/>
    <w:rsid w:val="00452ED8"/>
    <w:rsid w:val="0045494F"/>
    <w:rsid w:val="00454A01"/>
    <w:rsid w:val="004567DF"/>
    <w:rsid w:val="00472630"/>
    <w:rsid w:val="00473883"/>
    <w:rsid w:val="00476D80"/>
    <w:rsid w:val="00480B5C"/>
    <w:rsid w:val="00482E0D"/>
    <w:rsid w:val="004850B4"/>
    <w:rsid w:val="004901C2"/>
    <w:rsid w:val="004916FF"/>
    <w:rsid w:val="00492F98"/>
    <w:rsid w:val="004946D3"/>
    <w:rsid w:val="004957E5"/>
    <w:rsid w:val="004C21CC"/>
    <w:rsid w:val="004C49B2"/>
    <w:rsid w:val="004D031B"/>
    <w:rsid w:val="004D27DB"/>
    <w:rsid w:val="004D5EDB"/>
    <w:rsid w:val="004E083B"/>
    <w:rsid w:val="004E1482"/>
    <w:rsid w:val="004E69A4"/>
    <w:rsid w:val="004E6C3D"/>
    <w:rsid w:val="004F00C7"/>
    <w:rsid w:val="004F2C5D"/>
    <w:rsid w:val="004F34C4"/>
    <w:rsid w:val="004F3BBC"/>
    <w:rsid w:val="004F3F49"/>
    <w:rsid w:val="004F4A09"/>
    <w:rsid w:val="004F7E9D"/>
    <w:rsid w:val="00500794"/>
    <w:rsid w:val="00502217"/>
    <w:rsid w:val="00502BBF"/>
    <w:rsid w:val="00503CD9"/>
    <w:rsid w:val="005046CD"/>
    <w:rsid w:val="00505437"/>
    <w:rsid w:val="005070DB"/>
    <w:rsid w:val="00513F0F"/>
    <w:rsid w:val="00517ADA"/>
    <w:rsid w:val="00523208"/>
    <w:rsid w:val="0054183B"/>
    <w:rsid w:val="005462B4"/>
    <w:rsid w:val="00551429"/>
    <w:rsid w:val="00553C32"/>
    <w:rsid w:val="00554520"/>
    <w:rsid w:val="00557E7D"/>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D4A24"/>
    <w:rsid w:val="005D795E"/>
    <w:rsid w:val="005F776D"/>
    <w:rsid w:val="0060359F"/>
    <w:rsid w:val="006116C0"/>
    <w:rsid w:val="0061336A"/>
    <w:rsid w:val="006309DE"/>
    <w:rsid w:val="00631BD4"/>
    <w:rsid w:val="00632BDC"/>
    <w:rsid w:val="0063407E"/>
    <w:rsid w:val="00635B45"/>
    <w:rsid w:val="0064390B"/>
    <w:rsid w:val="00647A2C"/>
    <w:rsid w:val="00663C6D"/>
    <w:rsid w:val="006714ED"/>
    <w:rsid w:val="006738B9"/>
    <w:rsid w:val="00674F9C"/>
    <w:rsid w:val="006751D2"/>
    <w:rsid w:val="006770CA"/>
    <w:rsid w:val="00686C3A"/>
    <w:rsid w:val="00690E9D"/>
    <w:rsid w:val="00697F82"/>
    <w:rsid w:val="006A0598"/>
    <w:rsid w:val="006A5720"/>
    <w:rsid w:val="006A66DA"/>
    <w:rsid w:val="006A7394"/>
    <w:rsid w:val="006B257D"/>
    <w:rsid w:val="006B2EDA"/>
    <w:rsid w:val="006B59B9"/>
    <w:rsid w:val="006B6D07"/>
    <w:rsid w:val="006C0EB6"/>
    <w:rsid w:val="006C0F37"/>
    <w:rsid w:val="006D330F"/>
    <w:rsid w:val="006D6080"/>
    <w:rsid w:val="006E0C6A"/>
    <w:rsid w:val="006E1BD0"/>
    <w:rsid w:val="006E3377"/>
    <w:rsid w:val="006E4E76"/>
    <w:rsid w:val="006E625F"/>
    <w:rsid w:val="006F5839"/>
    <w:rsid w:val="006F5FD0"/>
    <w:rsid w:val="006F7885"/>
    <w:rsid w:val="007046C8"/>
    <w:rsid w:val="00706ADA"/>
    <w:rsid w:val="00706E7C"/>
    <w:rsid w:val="00710A38"/>
    <w:rsid w:val="00711010"/>
    <w:rsid w:val="007121FB"/>
    <w:rsid w:val="007129D6"/>
    <w:rsid w:val="00712CB3"/>
    <w:rsid w:val="00715755"/>
    <w:rsid w:val="00731A9A"/>
    <w:rsid w:val="007375CB"/>
    <w:rsid w:val="007471C5"/>
    <w:rsid w:val="00750FF8"/>
    <w:rsid w:val="00753FC2"/>
    <w:rsid w:val="00756C38"/>
    <w:rsid w:val="00761673"/>
    <w:rsid w:val="00761893"/>
    <w:rsid w:val="007636BC"/>
    <w:rsid w:val="007653F4"/>
    <w:rsid w:val="00770822"/>
    <w:rsid w:val="00771F97"/>
    <w:rsid w:val="007727F3"/>
    <w:rsid w:val="007874C8"/>
    <w:rsid w:val="007945A1"/>
    <w:rsid w:val="00794A92"/>
    <w:rsid w:val="00796976"/>
    <w:rsid w:val="00796CC5"/>
    <w:rsid w:val="007A04AC"/>
    <w:rsid w:val="007A4037"/>
    <w:rsid w:val="007C352C"/>
    <w:rsid w:val="007D51F2"/>
    <w:rsid w:val="007D6292"/>
    <w:rsid w:val="007D761E"/>
    <w:rsid w:val="007F095B"/>
    <w:rsid w:val="007F1955"/>
    <w:rsid w:val="007F26E3"/>
    <w:rsid w:val="007F2E96"/>
    <w:rsid w:val="007F5383"/>
    <w:rsid w:val="007F6AA9"/>
    <w:rsid w:val="008006B4"/>
    <w:rsid w:val="00800827"/>
    <w:rsid w:val="00804BD1"/>
    <w:rsid w:val="0080610B"/>
    <w:rsid w:val="00810582"/>
    <w:rsid w:val="00813A48"/>
    <w:rsid w:val="008152EF"/>
    <w:rsid w:val="008162F6"/>
    <w:rsid w:val="00817895"/>
    <w:rsid w:val="00817B4A"/>
    <w:rsid w:val="008215DA"/>
    <w:rsid w:val="008272C0"/>
    <w:rsid w:val="008323D3"/>
    <w:rsid w:val="008351FF"/>
    <w:rsid w:val="00845F81"/>
    <w:rsid w:val="0084698F"/>
    <w:rsid w:val="00862885"/>
    <w:rsid w:val="0087086B"/>
    <w:rsid w:val="00881C2D"/>
    <w:rsid w:val="00894E29"/>
    <w:rsid w:val="00896546"/>
    <w:rsid w:val="0089693D"/>
    <w:rsid w:val="008A1514"/>
    <w:rsid w:val="008B0830"/>
    <w:rsid w:val="008B77CD"/>
    <w:rsid w:val="008C3178"/>
    <w:rsid w:val="008C68A0"/>
    <w:rsid w:val="008D1243"/>
    <w:rsid w:val="008D30C8"/>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A701C"/>
    <w:rsid w:val="009B06B5"/>
    <w:rsid w:val="009B69BE"/>
    <w:rsid w:val="009B72CD"/>
    <w:rsid w:val="009E5BC1"/>
    <w:rsid w:val="009F0852"/>
    <w:rsid w:val="009F128B"/>
    <w:rsid w:val="009F12A5"/>
    <w:rsid w:val="009F1731"/>
    <w:rsid w:val="009F4445"/>
    <w:rsid w:val="009F5FB4"/>
    <w:rsid w:val="009F60AB"/>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54177"/>
    <w:rsid w:val="00A6156B"/>
    <w:rsid w:val="00A666EC"/>
    <w:rsid w:val="00A66FE8"/>
    <w:rsid w:val="00A779FE"/>
    <w:rsid w:val="00A77B07"/>
    <w:rsid w:val="00A83D98"/>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E7733"/>
    <w:rsid w:val="00AF0B6B"/>
    <w:rsid w:val="00AF412E"/>
    <w:rsid w:val="00AF5AB2"/>
    <w:rsid w:val="00AF7BB3"/>
    <w:rsid w:val="00B00363"/>
    <w:rsid w:val="00B063F9"/>
    <w:rsid w:val="00B06D60"/>
    <w:rsid w:val="00B112A1"/>
    <w:rsid w:val="00B14398"/>
    <w:rsid w:val="00B200AF"/>
    <w:rsid w:val="00B27B8B"/>
    <w:rsid w:val="00B33EE6"/>
    <w:rsid w:val="00B46840"/>
    <w:rsid w:val="00B503CB"/>
    <w:rsid w:val="00B50F8D"/>
    <w:rsid w:val="00B52A2C"/>
    <w:rsid w:val="00B60EC5"/>
    <w:rsid w:val="00B644B9"/>
    <w:rsid w:val="00B738A7"/>
    <w:rsid w:val="00B7586A"/>
    <w:rsid w:val="00B766F9"/>
    <w:rsid w:val="00B805A5"/>
    <w:rsid w:val="00B83783"/>
    <w:rsid w:val="00B83DA1"/>
    <w:rsid w:val="00B84AED"/>
    <w:rsid w:val="00B85BBB"/>
    <w:rsid w:val="00B90EE0"/>
    <w:rsid w:val="00B92478"/>
    <w:rsid w:val="00B9793F"/>
    <w:rsid w:val="00BA0765"/>
    <w:rsid w:val="00BA44A3"/>
    <w:rsid w:val="00BA7C3E"/>
    <w:rsid w:val="00BB2689"/>
    <w:rsid w:val="00BC353E"/>
    <w:rsid w:val="00BD2050"/>
    <w:rsid w:val="00BD65BA"/>
    <w:rsid w:val="00BD69EF"/>
    <w:rsid w:val="00BE08EC"/>
    <w:rsid w:val="00BE3544"/>
    <w:rsid w:val="00BE595A"/>
    <w:rsid w:val="00BE5F29"/>
    <w:rsid w:val="00BE783C"/>
    <w:rsid w:val="00BF002B"/>
    <w:rsid w:val="00BF1DB4"/>
    <w:rsid w:val="00C00D44"/>
    <w:rsid w:val="00C017FF"/>
    <w:rsid w:val="00C03AF5"/>
    <w:rsid w:val="00C04FCE"/>
    <w:rsid w:val="00C067C5"/>
    <w:rsid w:val="00C0772E"/>
    <w:rsid w:val="00C147B2"/>
    <w:rsid w:val="00C14D56"/>
    <w:rsid w:val="00C171B6"/>
    <w:rsid w:val="00C2011B"/>
    <w:rsid w:val="00C2062A"/>
    <w:rsid w:val="00C221FB"/>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6B21"/>
    <w:rsid w:val="00CB759D"/>
    <w:rsid w:val="00CB7AAE"/>
    <w:rsid w:val="00CC0A41"/>
    <w:rsid w:val="00CC3A74"/>
    <w:rsid w:val="00CC3BA0"/>
    <w:rsid w:val="00CC48C9"/>
    <w:rsid w:val="00CD049C"/>
    <w:rsid w:val="00CD4091"/>
    <w:rsid w:val="00CD765A"/>
    <w:rsid w:val="00CD770B"/>
    <w:rsid w:val="00CE49A1"/>
    <w:rsid w:val="00CF36D7"/>
    <w:rsid w:val="00CF759C"/>
    <w:rsid w:val="00D00216"/>
    <w:rsid w:val="00D011CD"/>
    <w:rsid w:val="00D14A9D"/>
    <w:rsid w:val="00D17A30"/>
    <w:rsid w:val="00D225CC"/>
    <w:rsid w:val="00D22682"/>
    <w:rsid w:val="00D240C3"/>
    <w:rsid w:val="00D2786B"/>
    <w:rsid w:val="00D32849"/>
    <w:rsid w:val="00D33DD9"/>
    <w:rsid w:val="00D434A7"/>
    <w:rsid w:val="00D46724"/>
    <w:rsid w:val="00D50EF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00E70"/>
    <w:rsid w:val="00E147D3"/>
    <w:rsid w:val="00E1782A"/>
    <w:rsid w:val="00E17CCF"/>
    <w:rsid w:val="00E20C75"/>
    <w:rsid w:val="00E21BC3"/>
    <w:rsid w:val="00E23A94"/>
    <w:rsid w:val="00E30BB5"/>
    <w:rsid w:val="00E31447"/>
    <w:rsid w:val="00E422A2"/>
    <w:rsid w:val="00E44018"/>
    <w:rsid w:val="00E5220B"/>
    <w:rsid w:val="00E5719E"/>
    <w:rsid w:val="00E6172B"/>
    <w:rsid w:val="00E66A55"/>
    <w:rsid w:val="00E70C9F"/>
    <w:rsid w:val="00E713DA"/>
    <w:rsid w:val="00E769F1"/>
    <w:rsid w:val="00E813B7"/>
    <w:rsid w:val="00E82874"/>
    <w:rsid w:val="00E845AC"/>
    <w:rsid w:val="00E867FC"/>
    <w:rsid w:val="00E9047D"/>
    <w:rsid w:val="00E959A8"/>
    <w:rsid w:val="00EA0ACE"/>
    <w:rsid w:val="00EA399C"/>
    <w:rsid w:val="00EB4C19"/>
    <w:rsid w:val="00EC1215"/>
    <w:rsid w:val="00EC7EB7"/>
    <w:rsid w:val="00ED5FA0"/>
    <w:rsid w:val="00EE0A07"/>
    <w:rsid w:val="00EE6E92"/>
    <w:rsid w:val="00EF03C9"/>
    <w:rsid w:val="00EF0A8C"/>
    <w:rsid w:val="00EF498A"/>
    <w:rsid w:val="00EF6A28"/>
    <w:rsid w:val="00EF6FBF"/>
    <w:rsid w:val="00F014D9"/>
    <w:rsid w:val="00F05BF1"/>
    <w:rsid w:val="00F07EE2"/>
    <w:rsid w:val="00F1778E"/>
    <w:rsid w:val="00F17A90"/>
    <w:rsid w:val="00F233FF"/>
    <w:rsid w:val="00F27C45"/>
    <w:rsid w:val="00F33539"/>
    <w:rsid w:val="00F33C45"/>
    <w:rsid w:val="00F43288"/>
    <w:rsid w:val="00F46873"/>
    <w:rsid w:val="00F4786D"/>
    <w:rsid w:val="00F504CC"/>
    <w:rsid w:val="00F50E8B"/>
    <w:rsid w:val="00F60220"/>
    <w:rsid w:val="00F77C8A"/>
    <w:rsid w:val="00F85F48"/>
    <w:rsid w:val="00F86AAA"/>
    <w:rsid w:val="00F9055E"/>
    <w:rsid w:val="00F91683"/>
    <w:rsid w:val="00FA00C3"/>
    <w:rsid w:val="00FA17FC"/>
    <w:rsid w:val="00FB119B"/>
    <w:rsid w:val="00FB17AC"/>
    <w:rsid w:val="00FB41D6"/>
    <w:rsid w:val="00FC622D"/>
    <w:rsid w:val="00FD342C"/>
    <w:rsid w:val="00FD7C42"/>
    <w:rsid w:val="00FE4D9A"/>
    <w:rsid w:val="00FE4E4B"/>
    <w:rsid w:val="00FE62A5"/>
    <w:rsid w:val="00FE6A9C"/>
    <w:rsid w:val="00FE6CB8"/>
    <w:rsid w:val="00FF1872"/>
    <w:rsid w:val="00FF1DA1"/>
    <w:rsid w:val="00FF3C0A"/>
    <w:rsid w:val="00FF50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D6B6-DD3E-4ABF-8599-E16526F1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5</Pages>
  <Words>1492</Words>
  <Characters>8511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9984</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Đula Ribar</cp:lastModifiedBy>
  <cp:revision>87</cp:revision>
  <cp:lastPrinted>2016-05-31T08:36:00Z</cp:lastPrinted>
  <dcterms:created xsi:type="dcterms:W3CDTF">2025-02-03T10:18:00Z</dcterms:created>
  <dcterms:modified xsi:type="dcterms:W3CDTF">2025-04-09T08:04:00Z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