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203581A9"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8F73EC" w:rsidRPr="008F73EC">
        <w:rPr>
          <w:sz w:val="22"/>
          <w:szCs w:val="22"/>
          <w:lang w:val="en-GB"/>
        </w:rPr>
        <w:t>IPAIII/2024/460-910/01(5.10.)</w:t>
      </w:r>
    </w:p>
    <w:p w14:paraId="6F7BD8AF" w14:textId="065D369B" w:rsidR="00D261B4" w:rsidRPr="0017401E" w:rsidRDefault="004319E9">
      <w:pPr>
        <w:pStyle w:val="Title"/>
        <w:spacing w:after="120"/>
        <w:rPr>
          <w:sz w:val="22"/>
          <w:szCs w:val="22"/>
          <w:lang w:val="en-GB"/>
        </w:rPr>
      </w:pPr>
      <w:r w:rsidRPr="004319E9">
        <w:rPr>
          <w:sz w:val="22"/>
          <w:szCs w:val="22"/>
          <w:lang w:val="en-GB"/>
        </w:rPr>
        <w:t>Project procurement services</w:t>
      </w:r>
      <w:r w:rsidRPr="004319E9">
        <w:rPr>
          <w:sz w:val="22"/>
          <w:szCs w:val="22"/>
          <w:lang w:val="en-GB"/>
        </w:rPr>
        <w:t xml:space="preserve"> </w:t>
      </w:r>
      <w:r w:rsidR="00D261B4" w:rsidRPr="0017401E">
        <w:rPr>
          <w:sz w:val="22"/>
          <w:szCs w:val="22"/>
          <w:lang w:val="en-GB"/>
        </w:rPr>
        <w:br/>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w:t>
      </w:r>
      <w:r>
        <w:rPr>
          <w:rFonts w:ascii="Times New Roman" w:hAnsi="Times New Roman"/>
          <w:b/>
          <w:sz w:val="22"/>
          <w:szCs w:val="22"/>
          <w:lang w:eastAsia="en-US"/>
        </w:rPr>
        <w:lastRenderedPageBreak/>
        <w:t>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17401E"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14:paraId="6B6F20E1" w14:textId="77777777"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lastRenderedPageBreak/>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5D0DB910"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F6BBB" w:rsidRPr="00B042E9">
        <w:rPr>
          <w:rStyle w:val="Hyperlink"/>
          <w:rFonts w:ascii="Times New Roman" w:hAnsi="Times New Roman"/>
          <w:sz w:val="22"/>
          <w:szCs w:val="22"/>
          <w:highlight w:val="yellow"/>
        </w:rPr>
        <w:t xml:space="preserve"> https://wikis.ec.europa.eu/display/ExactExternalWiki/Annexes#Annexes-AnnexesA(Ch.2):General</w:t>
      </w: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via eSubmission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20"/>
      </w:r>
      <w:r w:rsidRPr="0017401E">
        <w:br/>
      </w:r>
      <w:r w:rsidRPr="0017401E">
        <w:br/>
        <w:t>Publication ref:____________________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9"/>
      <w:footerReference w:type="first" r:id="rId2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BEB1C" w14:textId="77777777" w:rsidR="003533C2" w:rsidRDefault="003533C2" w:rsidP="006D1139">
      <w:pPr>
        <w:spacing w:before="120" w:after="0"/>
      </w:pPr>
      <w:r>
        <w:separator/>
      </w:r>
    </w:p>
  </w:endnote>
  <w:endnote w:type="continuationSeparator" w:id="0">
    <w:p w14:paraId="0BA5DA32" w14:textId="77777777" w:rsidR="003533C2" w:rsidRDefault="003533C2">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1">
    <w:p w14:paraId="5C1F618E" w14:textId="77777777" w:rsidR="00374B4C" w:rsidRPr="003043BF" w:rsidRDefault="00374B4C"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39EA" w14:textId="00A7920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2679676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3EBFC" w14:textId="00FCD8C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1AEC5B9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CC43E" w14:textId="645D3229"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658A2C40"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B5CD8" w14:textId="50B11919"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5D4D3868"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E8AB0" w14:textId="29B8F7DB"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14AE195A"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B042E9">
      <w:rPr>
        <w:rFonts w:ascii="Times New Roman" w:hAnsi="Times New Roman"/>
        <w:noProof/>
        <w:sz w:val="18"/>
        <w:szCs w:val="18"/>
      </w:rPr>
      <w:t>11</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5C0FC298"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056AB" w14:textId="77777777" w:rsidR="003533C2" w:rsidRDefault="003533C2">
      <w:r>
        <w:separator/>
      </w:r>
    </w:p>
  </w:footnote>
  <w:footnote w:type="continuationSeparator" w:id="0">
    <w:p w14:paraId="5B206520" w14:textId="77777777" w:rsidR="003533C2" w:rsidRDefault="00353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04549534">
    <w:abstractNumId w:val="4"/>
  </w:num>
  <w:num w:numId="2" w16cid:durableId="1892888386">
    <w:abstractNumId w:val="12"/>
  </w:num>
  <w:num w:numId="3" w16cid:durableId="516844593">
    <w:abstractNumId w:val="1"/>
  </w:num>
  <w:num w:numId="4" w16cid:durableId="313685524">
    <w:abstractNumId w:val="14"/>
  </w:num>
  <w:num w:numId="5" w16cid:durableId="1534883719">
    <w:abstractNumId w:val="7"/>
  </w:num>
  <w:num w:numId="6" w16cid:durableId="1766994428">
    <w:abstractNumId w:val="5"/>
  </w:num>
  <w:num w:numId="7" w16cid:durableId="465128794">
    <w:abstractNumId w:val="10"/>
  </w:num>
  <w:num w:numId="8" w16cid:durableId="158113982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354112898">
    <w:abstractNumId w:val="13"/>
  </w:num>
  <w:num w:numId="10" w16cid:durableId="1264343649">
    <w:abstractNumId w:val="2"/>
  </w:num>
  <w:num w:numId="11" w16cid:durableId="1840388740">
    <w:abstractNumId w:val="9"/>
  </w:num>
  <w:num w:numId="12" w16cid:durableId="1071318215">
    <w:abstractNumId w:val="6"/>
  </w:num>
  <w:num w:numId="13" w16cid:durableId="16928765">
    <w:abstractNumId w:val="8"/>
  </w:num>
  <w:num w:numId="14" w16cid:durableId="1202477710">
    <w:abstractNumId w:val="3"/>
  </w:num>
  <w:num w:numId="15" w16cid:durableId="1978290818">
    <w:abstractNumId w:val="11"/>
  </w:num>
  <w:num w:numId="16" w16cid:durableId="200481356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28A3"/>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33C2"/>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9E9"/>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0EC5"/>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E5413"/>
    <w:rsid w:val="008F17CF"/>
    <w:rsid w:val="008F3117"/>
    <w:rsid w:val="008F4F0A"/>
    <w:rsid w:val="008F73EC"/>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30A5"/>
    <w:rsid w:val="00A07272"/>
    <w:rsid w:val="00A128E4"/>
    <w:rsid w:val="00A23DF0"/>
    <w:rsid w:val="00A24B43"/>
    <w:rsid w:val="00A26E13"/>
    <w:rsid w:val="00A32155"/>
    <w:rsid w:val="00A36A2B"/>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66E7C"/>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26E2D"/>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sanctionsmap.e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3202</Words>
  <Characters>18254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21414</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Đula Ribar</cp:lastModifiedBy>
  <cp:revision>4</cp:revision>
  <cp:lastPrinted>2013-05-27T10:48:00Z</cp:lastPrinted>
  <dcterms:created xsi:type="dcterms:W3CDTF">2025-02-03T10:20:00Z</dcterms:created>
  <dcterms:modified xsi:type="dcterms:W3CDTF">2025-04-08T09:10:00Z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