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7955A887" w14:textId="00CE9911" w:rsidR="00816B6E" w:rsidRPr="0063749B" w:rsidRDefault="00816B6E" w:rsidP="00D81857">
      <w:pPr>
        <w:shd w:val="clear" w:color="auto" w:fill="FFFF00"/>
        <w:rPr>
          <w:rFonts w:ascii="Times New Roman" w:hAnsi="Times New Roman"/>
          <w:b/>
          <w:sz w:val="22"/>
          <w:szCs w:val="22"/>
        </w:rPr>
      </w:pPr>
    </w:p>
    <w:p w14:paraId="662F4D95" w14:textId="77777777"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5D828FD9" w:rsidR="00D81857" w:rsidRPr="0063749B" w:rsidRDefault="00C64495" w:rsidP="008D141B">
      <w:pPr>
        <w:rPr>
          <w:rFonts w:ascii="Times New Roman" w:hAnsi="Times New Roman"/>
          <w:sz w:val="22"/>
          <w:szCs w:val="22"/>
        </w:rPr>
      </w:pPr>
      <w:r>
        <w:rPr>
          <w:rFonts w:ascii="Times New Roman" w:hAnsi="Times New Roman"/>
          <w:sz w:val="22"/>
          <w:szCs w:val="22"/>
        </w:rPr>
        <w:t>Republic of Serbia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6EFAC843" w:rsidR="00D81857" w:rsidRPr="0063749B" w:rsidRDefault="00C64495" w:rsidP="008D141B">
      <w:pPr>
        <w:rPr>
          <w:rFonts w:ascii="Times New Roman" w:hAnsi="Times New Roman"/>
          <w:sz w:val="22"/>
          <w:szCs w:val="22"/>
        </w:rPr>
      </w:pPr>
      <w:r>
        <w:rPr>
          <w:rFonts w:ascii="Times New Roman" w:hAnsi="Times New Roman"/>
          <w:sz w:val="22"/>
          <w:szCs w:val="22"/>
        </w:rPr>
        <w:t>Foundation “</w:t>
      </w:r>
      <w:r w:rsidR="00445188">
        <w:rPr>
          <w:rFonts w:ascii="Times New Roman" w:hAnsi="Times New Roman"/>
          <w:sz w:val="22"/>
          <w:szCs w:val="22"/>
        </w:rPr>
        <w:t>Novi Sad – European Capital of Culture”</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64D6B0BE" w14:textId="4659D51E" w:rsidR="00D81857" w:rsidRPr="0063749B" w:rsidRDefault="006B0823" w:rsidP="008D141B">
      <w:pPr>
        <w:rPr>
          <w:rFonts w:ascii="Times New Roman" w:hAnsi="Times New Roman"/>
          <w:sz w:val="22"/>
          <w:szCs w:val="22"/>
        </w:rPr>
      </w:pPr>
      <w:r w:rsidRPr="006B0823">
        <w:rPr>
          <w:rFonts w:ascii="Times New Roman" w:hAnsi="Times New Roman"/>
          <w:sz w:val="22"/>
          <w:szCs w:val="22"/>
        </w:rPr>
        <w:t>Today, the political and social dynamics in the</w:t>
      </w:r>
      <w:r>
        <w:rPr>
          <w:rFonts w:ascii="Times New Roman" w:hAnsi="Times New Roman"/>
          <w:sz w:val="22"/>
          <w:szCs w:val="22"/>
        </w:rPr>
        <w:t xml:space="preserve"> country and</w:t>
      </w:r>
      <w:r w:rsidRPr="006B0823">
        <w:rPr>
          <w:rFonts w:ascii="Times New Roman" w:hAnsi="Times New Roman"/>
          <w:sz w:val="22"/>
          <w:szCs w:val="22"/>
        </w:rPr>
        <w:t xml:space="preserve"> region are characterized by high youth unemployment, lack of trust in the governing elites and gloomy prospects of EU membership </w:t>
      </w:r>
      <w:proofErr w:type="gramStart"/>
      <w:r w:rsidRPr="006B0823">
        <w:rPr>
          <w:rFonts w:ascii="Times New Roman" w:hAnsi="Times New Roman"/>
          <w:sz w:val="22"/>
          <w:szCs w:val="22"/>
        </w:rPr>
        <w:t>in the near future</w:t>
      </w:r>
      <w:proofErr w:type="gramEnd"/>
      <w:r w:rsidRPr="006B0823">
        <w:rPr>
          <w:rFonts w:ascii="Times New Roman" w:hAnsi="Times New Roman"/>
          <w:sz w:val="22"/>
          <w:szCs w:val="22"/>
        </w:rPr>
        <w:t>, which have affected citizens’ perceptions and level of confidence that the reconciliation process can overcome the present stalling stage. Moreover, the standstill with the enlargement process has allowed the local elites in power to raise the nationalistic rhetoric in their public speeches for short-term political gains, at the expense of the wider regional rapprochement process.</w:t>
      </w:r>
      <w:r w:rsidR="009C1AD7">
        <w:rPr>
          <w:rFonts w:ascii="Times New Roman" w:hAnsi="Times New Roman"/>
          <w:sz w:val="22"/>
          <w:szCs w:val="22"/>
        </w:rPr>
        <w:t xml:space="preserve"> </w:t>
      </w:r>
      <w:r w:rsidR="00847726" w:rsidRPr="00847726">
        <w:rPr>
          <w:rFonts w:ascii="Times New Roman" w:hAnsi="Times New Roman"/>
          <w:sz w:val="22"/>
          <w:szCs w:val="22"/>
        </w:rPr>
        <w:t xml:space="preserve">More than two decades after the armed conflict in the Western Balkans, the main preconditions for a genuine reconciliation process have never been met. There are both internal and external factors that have led to the present “stalemate” and that have resulted in conflicting narratives about the recent past allowing the perpetrators to have become the national heroes and only the victims within the same ethnic groups considered victims.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1C5D961A" w14:textId="735B91E3" w:rsidR="000778B1" w:rsidRPr="0063749B" w:rsidRDefault="00193902" w:rsidP="000778B1">
      <w:pPr>
        <w:rPr>
          <w:sz w:val="22"/>
          <w:szCs w:val="22"/>
        </w:rPr>
      </w:pPr>
      <w:r w:rsidRPr="00193902">
        <w:rPr>
          <w:rFonts w:ascii="Times New Roman" w:hAnsi="Times New Roman"/>
          <w:sz w:val="22"/>
          <w:szCs w:val="22"/>
        </w:rPr>
        <w:t xml:space="preserve">The action creates space for both top-down and bottom-up approach to regional reconciliation and confidence building </w:t>
      </w:r>
      <w:proofErr w:type="gramStart"/>
      <w:r w:rsidRPr="00193902">
        <w:rPr>
          <w:rFonts w:ascii="Times New Roman" w:hAnsi="Times New Roman"/>
          <w:sz w:val="22"/>
          <w:szCs w:val="22"/>
        </w:rPr>
        <w:t>in order to</w:t>
      </w:r>
      <w:proofErr w:type="gramEnd"/>
      <w:r w:rsidRPr="00193902">
        <w:rPr>
          <w:rFonts w:ascii="Times New Roman" w:hAnsi="Times New Roman"/>
          <w:sz w:val="22"/>
          <w:szCs w:val="22"/>
        </w:rPr>
        <w:t xml:space="preserve"> achieve the specific objective:  support to grass-roots spaces of dialogue in building sustainable transitional justice, dialogue and confidence-building capacities for the implementation of effective dealing with the past actions in the region, from a victim's centred approach.</w:t>
      </w:r>
      <w:r>
        <w:rPr>
          <w:rFonts w:ascii="Times New Roman" w:hAnsi="Times New Roman"/>
          <w:sz w:val="22"/>
          <w:szCs w:val="22"/>
        </w:rPr>
        <w:t xml:space="preserve"> </w:t>
      </w:r>
      <w:r w:rsidR="009E731F">
        <w:rPr>
          <w:rFonts w:ascii="Times New Roman" w:hAnsi="Times New Roman"/>
          <w:sz w:val="22"/>
          <w:szCs w:val="22"/>
        </w:rPr>
        <w:t>C</w:t>
      </w:r>
      <w:r w:rsidR="00B65356" w:rsidRPr="00B65356">
        <w:rPr>
          <w:rFonts w:ascii="Times New Roman" w:hAnsi="Times New Roman"/>
          <w:sz w:val="22"/>
          <w:szCs w:val="22"/>
        </w:rPr>
        <w:t xml:space="preserve">ivil society and public authorities aimed to restore the regional reconciliation process through </w:t>
      </w:r>
      <w:proofErr w:type="spellStart"/>
      <w:r w:rsidR="00B65356" w:rsidRPr="00B65356">
        <w:rPr>
          <w:rFonts w:ascii="Times New Roman" w:hAnsi="Times New Roman"/>
          <w:sz w:val="22"/>
          <w:szCs w:val="22"/>
        </w:rPr>
        <w:t>Igman</w:t>
      </w:r>
      <w:proofErr w:type="spellEnd"/>
      <w:r w:rsidR="00B65356" w:rsidRPr="00B65356">
        <w:rPr>
          <w:rFonts w:ascii="Times New Roman" w:hAnsi="Times New Roman"/>
          <w:sz w:val="22"/>
          <w:szCs w:val="22"/>
        </w:rPr>
        <w:t xml:space="preserve"> Initiative and in this way to address the lack of coherent top-down and bottom up approaches to reconciliation and confidence building between the countries, both in terms of unresolved bilateral disputes and lack of commitment to obligations deriving from the accession negotiation with the EU, particularly when it comes to the rule of law, fundamental rights and governance</w:t>
      </w:r>
      <w:r w:rsidR="00FA6A1C">
        <w:rPr>
          <w:rFonts w:ascii="Times New Roman" w:hAnsi="Times New Roman"/>
          <w:sz w:val="22"/>
          <w:szCs w:val="22"/>
        </w:rPr>
        <w:t xml:space="preserve">. There are </w:t>
      </w:r>
      <w:r w:rsidR="00FA6A1C" w:rsidRPr="00FA6A1C">
        <w:rPr>
          <w:rFonts w:ascii="Times New Roman" w:hAnsi="Times New Roman"/>
          <w:sz w:val="22"/>
          <w:szCs w:val="22"/>
        </w:rPr>
        <w:t>significant challenges to democratic governance and the protection of human rights</w:t>
      </w:r>
      <w:r w:rsidR="00626923">
        <w:rPr>
          <w:rFonts w:ascii="Times New Roman" w:hAnsi="Times New Roman"/>
          <w:sz w:val="22"/>
          <w:szCs w:val="22"/>
        </w:rPr>
        <w:t xml:space="preserve">. </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116D000B" w:rsidR="00D81857" w:rsidRPr="0063749B" w:rsidRDefault="0092082B" w:rsidP="008D141B">
      <w:pPr>
        <w:rPr>
          <w:rFonts w:ascii="Times New Roman" w:hAnsi="Times New Roman"/>
          <w:sz w:val="22"/>
          <w:szCs w:val="22"/>
        </w:rPr>
      </w:pPr>
      <w:r w:rsidRPr="0092082B">
        <w:rPr>
          <w:rFonts w:ascii="Times New Roman" w:hAnsi="Times New Roman"/>
          <w:sz w:val="22"/>
          <w:szCs w:val="22"/>
        </w:rPr>
        <w:t>Financial flows in the sector are largely dependent on public funding, with limited private investment and restricted access to international funds. The EU has been continuously providing support through programs and funds to enhance the cultural as well as tourism sectors.</w:t>
      </w:r>
      <w:r>
        <w:rPr>
          <w:rFonts w:ascii="Times New Roman" w:hAnsi="Times New Roman"/>
          <w:sz w:val="22"/>
          <w:szCs w:val="22"/>
        </w:rPr>
        <w:t xml:space="preserve"> </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w:t>
      </w:r>
      <w:proofErr w:type="gramStart"/>
      <w:r w:rsidR="00312C82">
        <w:rPr>
          <w:rFonts w:ascii="Times New Roman" w:hAnsi="Times New Roman"/>
          <w:sz w:val="22"/>
          <w:szCs w:val="22"/>
        </w:rPr>
        <w:t xml:space="preserve">is </w:t>
      </w:r>
      <w:r w:rsidRPr="0063749B">
        <w:rPr>
          <w:rFonts w:ascii="Times New Roman" w:hAnsi="Times New Roman"/>
          <w:sz w:val="22"/>
          <w:szCs w:val="22"/>
        </w:rPr>
        <w:t>:</w:t>
      </w:r>
      <w:proofErr w:type="gramEnd"/>
    </w:p>
    <w:p w14:paraId="07F2CC1C" w14:textId="6904884C" w:rsidR="00D44567" w:rsidRDefault="009851A9" w:rsidP="00D44567">
      <w:pPr>
        <w:rPr>
          <w:rFonts w:ascii="Times New Roman" w:hAnsi="Times New Roman"/>
          <w:sz w:val="22"/>
          <w:szCs w:val="22"/>
        </w:rPr>
      </w:pPr>
      <w:r w:rsidRPr="009851A9">
        <w:rPr>
          <w:rFonts w:ascii="Times New Roman" w:hAnsi="Times New Roman"/>
          <w:sz w:val="22"/>
          <w:szCs w:val="22"/>
        </w:rPr>
        <w:t xml:space="preserve">The objective of the Action is enhanced CSOs engagement in regional initiatives promoting reconciliation and intercultural dialogue among citizens and young people </w:t>
      </w:r>
      <w:proofErr w:type="gramStart"/>
      <w:r w:rsidRPr="009851A9">
        <w:rPr>
          <w:rFonts w:ascii="Times New Roman" w:hAnsi="Times New Roman"/>
          <w:sz w:val="22"/>
          <w:szCs w:val="22"/>
        </w:rPr>
        <w:t>in particular through</w:t>
      </w:r>
      <w:proofErr w:type="gramEnd"/>
      <w:r w:rsidRPr="009851A9">
        <w:rPr>
          <w:rFonts w:ascii="Times New Roman" w:hAnsi="Times New Roman"/>
          <w:sz w:val="22"/>
          <w:szCs w:val="22"/>
        </w:rPr>
        <w:t xml:space="preserve"> empowering bottom-up approaches and innovative forms of youth cultural participation and artivism. </w:t>
      </w:r>
    </w:p>
    <w:p w14:paraId="23237EE3" w14:textId="519BF732" w:rsidR="009144FC" w:rsidRDefault="009144FC" w:rsidP="009144FC">
      <w:pPr>
        <w:rPr>
          <w:rFonts w:ascii="Times New Roman" w:hAnsi="Times New Roman"/>
          <w:sz w:val="22"/>
          <w:szCs w:val="22"/>
        </w:rPr>
      </w:pP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27AAC809" w:rsidR="00D81857" w:rsidRPr="0063749B" w:rsidRDefault="00D81857" w:rsidP="00A4001B">
      <w:pPr>
        <w:keepNext/>
        <w:keepLines/>
        <w:rPr>
          <w:rFonts w:ascii="Times New Roman" w:hAnsi="Times New Roman"/>
          <w:sz w:val="22"/>
          <w:szCs w:val="22"/>
        </w:rPr>
      </w:pPr>
      <w:proofErr w:type="gramStart"/>
      <w:r w:rsidRPr="0063749B">
        <w:rPr>
          <w:rFonts w:ascii="Times New Roman" w:hAnsi="Times New Roman"/>
          <w:sz w:val="22"/>
          <w:szCs w:val="22"/>
        </w:rPr>
        <w:t xml:space="preserve">The </w:t>
      </w:r>
      <w:r w:rsidR="00312C82">
        <w:rPr>
          <w:rFonts w:ascii="Times New Roman" w:hAnsi="Times New Roman"/>
          <w:sz w:val="22"/>
          <w:szCs w:val="22"/>
        </w:rPr>
        <w:t xml:space="preserve"> </w:t>
      </w:r>
      <w:r w:rsidR="00312C82" w:rsidRPr="001E27BD">
        <w:rPr>
          <w:rFonts w:ascii="Times New Roman" w:hAnsi="Times New Roman"/>
          <w:sz w:val="22"/>
          <w:szCs w:val="22"/>
        </w:rPr>
        <w:t>specific</w:t>
      </w:r>
      <w:proofErr w:type="gramEnd"/>
      <w:r w:rsidR="00312C82" w:rsidRPr="001E27BD">
        <w:rPr>
          <w:rFonts w:ascii="Times New Roman" w:hAnsi="Times New Roman"/>
          <w:sz w:val="22"/>
          <w:szCs w:val="22"/>
        </w:rPr>
        <w:t xml:space="preserve"> objective </w:t>
      </w:r>
      <w:r w:rsidRPr="0063749B">
        <w:rPr>
          <w:rFonts w:ascii="Times New Roman" w:hAnsi="Times New Roman"/>
          <w:sz w:val="22"/>
          <w:szCs w:val="22"/>
        </w:rPr>
        <w:t xml:space="preserve">of this </w:t>
      </w:r>
      <w:r w:rsidRPr="006A5FC9">
        <w:rPr>
          <w:rFonts w:ascii="Times New Roman" w:hAnsi="Times New Roman"/>
          <w:sz w:val="22"/>
          <w:szCs w:val="22"/>
        </w:rPr>
        <w:t>contract is as</w:t>
      </w:r>
      <w:r w:rsidRPr="0063749B">
        <w:rPr>
          <w:rFonts w:ascii="Times New Roman" w:hAnsi="Times New Roman"/>
          <w:sz w:val="22"/>
          <w:szCs w:val="22"/>
        </w:rPr>
        <w:t xml:space="preserve"> follows:</w:t>
      </w:r>
    </w:p>
    <w:p w14:paraId="3F94F6D6" w14:textId="7E0CD575" w:rsidR="00312C82" w:rsidRDefault="006A5FC9" w:rsidP="00312C82">
      <w:pPr>
        <w:pStyle w:val="ListBullet"/>
        <w:keepNext/>
        <w:keepLines/>
        <w:numPr>
          <w:ilvl w:val="0"/>
          <w:numId w:val="7"/>
        </w:numPr>
        <w:spacing w:after="120"/>
        <w:rPr>
          <w:sz w:val="22"/>
          <w:szCs w:val="22"/>
        </w:rPr>
      </w:pPr>
      <w:r>
        <w:rPr>
          <w:sz w:val="22"/>
          <w:szCs w:val="22"/>
        </w:rPr>
        <w:t>Successful implementation of procurement procedures during the implementation of the project.</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05EDC62C" w14:textId="3685EBD2" w:rsidR="00230DF4" w:rsidRPr="00E2252D"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147ADB99" w:rsidR="00230DF4" w:rsidRPr="0053532A" w:rsidRDefault="00915532" w:rsidP="00230DF4">
      <w:pPr>
        <w:pStyle w:val="ListBullet"/>
      </w:pPr>
      <w:r>
        <w:t xml:space="preserve">A devised </w:t>
      </w:r>
      <w:r w:rsidR="00970D74">
        <w:t>procurement plan</w:t>
      </w:r>
    </w:p>
    <w:p w14:paraId="39C28551" w14:textId="095853D4" w:rsidR="00230DF4" w:rsidRPr="009E7AA7" w:rsidRDefault="00A168AD" w:rsidP="00230DF4">
      <w:pPr>
        <w:pStyle w:val="ListBullet"/>
      </w:pPr>
      <w:r>
        <w:t>Implemented public procurement procedures for all procurements within the project</w:t>
      </w:r>
    </w:p>
    <w:p w14:paraId="7C39AC66" w14:textId="77777777"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4C2F7EDC" w:rsidR="00D81857" w:rsidRPr="0063749B" w:rsidRDefault="00470B0E" w:rsidP="008D141B">
      <w:pPr>
        <w:rPr>
          <w:rFonts w:ascii="Times New Roman" w:hAnsi="Times New Roman"/>
          <w:sz w:val="22"/>
          <w:szCs w:val="22"/>
        </w:rPr>
      </w:pPr>
      <w:r>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1EC12404" w:rsidR="00D81857" w:rsidRPr="0063749B" w:rsidRDefault="00460E3E"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3A10F2A3" w14:textId="6F4A9E40" w:rsidR="008A0D16" w:rsidRPr="00C741BD" w:rsidRDefault="00F0798B" w:rsidP="00301519">
      <w:pPr>
        <w:spacing w:after="0"/>
        <w:jc w:val="left"/>
        <w:rPr>
          <w:rFonts w:ascii="Times New Roman" w:hAnsi="Times New Roman"/>
          <w:sz w:val="22"/>
          <w:szCs w:val="22"/>
          <w:lang w:eastAsia="sr-Latn-RS"/>
        </w:rPr>
      </w:pPr>
      <w:r>
        <w:rPr>
          <w:rFonts w:ascii="Times New Roman" w:hAnsi="Times New Roman"/>
          <w:sz w:val="22"/>
          <w:szCs w:val="22"/>
          <w:lang w:eastAsia="sr-Latn-RS"/>
        </w:rPr>
        <w:t>The</w:t>
      </w:r>
      <w:r w:rsidR="00F2365E">
        <w:rPr>
          <w:rFonts w:ascii="Times New Roman" w:hAnsi="Times New Roman"/>
          <w:sz w:val="22"/>
          <w:szCs w:val="22"/>
          <w:lang w:eastAsia="sr-Latn-RS"/>
        </w:rPr>
        <w:t xml:space="preserve"> implementation of the </w:t>
      </w:r>
      <w:r w:rsidR="0021576E">
        <w:rPr>
          <w:rFonts w:ascii="Times New Roman" w:hAnsi="Times New Roman"/>
          <w:sz w:val="22"/>
          <w:szCs w:val="22"/>
          <w:lang w:eastAsia="sr-Latn-RS"/>
        </w:rPr>
        <w:t xml:space="preserve">“District of Reconciliation” project requires the </w:t>
      </w:r>
      <w:r w:rsidR="009C355C">
        <w:rPr>
          <w:rFonts w:ascii="Times New Roman" w:hAnsi="Times New Roman"/>
          <w:sz w:val="22"/>
          <w:szCs w:val="22"/>
          <w:lang w:eastAsia="sr-Latn-RS"/>
        </w:rPr>
        <w:t xml:space="preserve">procurement of supplies and services </w:t>
      </w:r>
      <w:r w:rsidR="00D6758C">
        <w:rPr>
          <w:rFonts w:ascii="Times New Roman" w:hAnsi="Times New Roman"/>
          <w:sz w:val="22"/>
          <w:szCs w:val="22"/>
          <w:lang w:eastAsia="sr-Latn-RS"/>
        </w:rPr>
        <w:t xml:space="preserve">necessary to implement the project. </w:t>
      </w:r>
    </w:p>
    <w:p w14:paraId="163744DD" w14:textId="77777777" w:rsidR="008A0D16" w:rsidRPr="008A0D16" w:rsidRDefault="008A0D16" w:rsidP="008A0D16">
      <w:pPr>
        <w:spacing w:before="100" w:beforeAutospacing="1" w:after="100" w:afterAutospacing="1"/>
        <w:ind w:left="720"/>
        <w:jc w:val="left"/>
        <w:rPr>
          <w:rFonts w:ascii="Times New Roman" w:hAnsi="Times New Roman"/>
          <w:sz w:val="24"/>
          <w:szCs w:val="24"/>
          <w:lang w:val="sr-Latn-RS" w:eastAsia="sr-Latn-RS"/>
        </w:rPr>
      </w:pPr>
    </w:p>
    <w:p w14:paraId="761C92A4" w14:textId="77777777" w:rsidR="00D81857" w:rsidRPr="0063749B" w:rsidRDefault="00D81857" w:rsidP="008D141B">
      <w:pPr>
        <w:pStyle w:val="Heading3"/>
        <w:keepNext w:val="0"/>
      </w:pPr>
      <w:r w:rsidRPr="0063749B">
        <w:t>Geographical area to be covered</w:t>
      </w:r>
    </w:p>
    <w:p w14:paraId="4132868E" w14:textId="49647A23" w:rsidR="00D81857" w:rsidRPr="0063749B" w:rsidRDefault="0063534A" w:rsidP="008D141B">
      <w:pPr>
        <w:rPr>
          <w:rFonts w:ascii="Times New Roman" w:hAnsi="Times New Roman"/>
          <w:sz w:val="22"/>
          <w:szCs w:val="22"/>
        </w:rPr>
      </w:pPr>
      <w:r w:rsidRPr="0063534A">
        <w:rPr>
          <w:rFonts w:ascii="Times New Roman" w:hAnsi="Times New Roman"/>
          <w:sz w:val="22"/>
          <w:szCs w:val="22"/>
        </w:rPr>
        <w:t xml:space="preserve">Republic of Serbia, AP Vojvodina, Novi Sad </w:t>
      </w:r>
    </w:p>
    <w:p w14:paraId="4A60BB7E" w14:textId="77777777" w:rsidR="00D81857" w:rsidRPr="0063749B" w:rsidRDefault="00D81857" w:rsidP="008D141B">
      <w:pPr>
        <w:pStyle w:val="Heading3"/>
        <w:keepNext w:val="0"/>
      </w:pPr>
      <w:r w:rsidRPr="0063749B">
        <w:t>Target groups</w:t>
      </w:r>
    </w:p>
    <w:p w14:paraId="7C05BCAB" w14:textId="44CFAA0A" w:rsidR="00D81857" w:rsidRPr="0063749B" w:rsidRDefault="00E97F4E" w:rsidP="008D141B">
      <w:pPr>
        <w:rPr>
          <w:rFonts w:ascii="Times New Roman" w:hAnsi="Times New Roman"/>
          <w:sz w:val="22"/>
          <w:szCs w:val="22"/>
        </w:rPr>
      </w:pPr>
      <w:r w:rsidRPr="00E97F4E">
        <w:rPr>
          <w:rFonts w:ascii="Times New Roman" w:hAnsi="Times New Roman"/>
          <w:sz w:val="22"/>
          <w:szCs w:val="22"/>
        </w:rPr>
        <w:t xml:space="preserve">The main target groups of the Action are CSOs and CSO thematic network members in the WB and youth organisations and youth formal and informal culture groups.  </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2E6B04B2" w14:textId="3D87AF21" w:rsidR="00D81857" w:rsidRDefault="00396F47" w:rsidP="008D141B">
      <w:pPr>
        <w:rPr>
          <w:rFonts w:ascii="Times New Roman" w:hAnsi="Times New Roman"/>
          <w:sz w:val="22"/>
          <w:szCs w:val="22"/>
        </w:rPr>
      </w:pPr>
      <w:r>
        <w:rPr>
          <w:rFonts w:ascii="Times New Roman" w:hAnsi="Times New Roman"/>
          <w:sz w:val="22"/>
          <w:szCs w:val="22"/>
        </w:rPr>
        <w:t>The co</w:t>
      </w:r>
      <w:r w:rsidR="001A6418">
        <w:rPr>
          <w:rFonts w:ascii="Times New Roman" w:hAnsi="Times New Roman"/>
          <w:sz w:val="22"/>
          <w:szCs w:val="22"/>
        </w:rPr>
        <w:t xml:space="preserve">ntractor should devise a procurement plan and devise all necessary </w:t>
      </w:r>
      <w:r w:rsidR="00A107D9">
        <w:rPr>
          <w:rFonts w:ascii="Times New Roman" w:hAnsi="Times New Roman"/>
          <w:sz w:val="22"/>
          <w:szCs w:val="22"/>
        </w:rPr>
        <w:t xml:space="preserve">procurement documents according to PRAG rules. The table below shows the type of costs </w:t>
      </w:r>
      <w:r w:rsidR="00CB3F03">
        <w:rPr>
          <w:rFonts w:ascii="Times New Roman" w:hAnsi="Times New Roman"/>
          <w:sz w:val="22"/>
          <w:szCs w:val="22"/>
        </w:rPr>
        <w:t xml:space="preserve">as approved in the project budget. </w:t>
      </w:r>
    </w:p>
    <w:tbl>
      <w:tblPr>
        <w:tblStyle w:val="TableGrid"/>
        <w:tblW w:w="0" w:type="auto"/>
        <w:tblLook w:val="04A0" w:firstRow="1" w:lastRow="0" w:firstColumn="1" w:lastColumn="0" w:noHBand="0" w:noVBand="1"/>
      </w:tblPr>
      <w:tblGrid>
        <w:gridCol w:w="7285"/>
        <w:gridCol w:w="1783"/>
      </w:tblGrid>
      <w:tr w:rsidR="006419CD" w14:paraId="52CA1498" w14:textId="77777777" w:rsidTr="00771D39">
        <w:tc>
          <w:tcPr>
            <w:tcW w:w="7285" w:type="dxa"/>
          </w:tcPr>
          <w:p w14:paraId="673D4F62" w14:textId="200A7E77" w:rsidR="006419CD" w:rsidRPr="006A5BB0" w:rsidRDefault="00CB3F03" w:rsidP="006A5BB0">
            <w:pPr>
              <w:spacing w:after="0"/>
              <w:jc w:val="center"/>
              <w:rPr>
                <w:rFonts w:ascii="Times New Roman" w:hAnsi="Times New Roman"/>
                <w:b/>
                <w:bCs/>
                <w:sz w:val="22"/>
                <w:szCs w:val="22"/>
              </w:rPr>
            </w:pPr>
            <w:r w:rsidRPr="006A5BB0">
              <w:rPr>
                <w:rFonts w:ascii="Times New Roman" w:hAnsi="Times New Roman"/>
                <w:b/>
                <w:bCs/>
                <w:sz w:val="22"/>
                <w:szCs w:val="22"/>
              </w:rPr>
              <w:t>Type of cost</w:t>
            </w:r>
          </w:p>
        </w:tc>
        <w:tc>
          <w:tcPr>
            <w:tcW w:w="1783" w:type="dxa"/>
          </w:tcPr>
          <w:p w14:paraId="361B5CF6" w14:textId="20029B85" w:rsidR="006419CD" w:rsidRPr="006A5BB0" w:rsidRDefault="006A5BB0" w:rsidP="006A5BB0">
            <w:pPr>
              <w:spacing w:after="0"/>
              <w:jc w:val="center"/>
              <w:rPr>
                <w:rFonts w:ascii="Times New Roman" w:hAnsi="Times New Roman"/>
                <w:b/>
                <w:bCs/>
                <w:sz w:val="22"/>
                <w:szCs w:val="22"/>
              </w:rPr>
            </w:pPr>
            <w:r w:rsidRPr="006A5BB0">
              <w:rPr>
                <w:rFonts w:ascii="Times New Roman" w:hAnsi="Times New Roman"/>
                <w:b/>
                <w:bCs/>
                <w:sz w:val="22"/>
                <w:szCs w:val="22"/>
              </w:rPr>
              <w:t>Amount (EUR)</w:t>
            </w:r>
          </w:p>
        </w:tc>
      </w:tr>
      <w:tr w:rsidR="006419CD" w14:paraId="5D2F3C18" w14:textId="77777777" w:rsidTr="00771D39">
        <w:tc>
          <w:tcPr>
            <w:tcW w:w="7285" w:type="dxa"/>
          </w:tcPr>
          <w:p w14:paraId="2D84F325" w14:textId="2BC19DE8" w:rsidR="006419CD" w:rsidRDefault="00A30F10" w:rsidP="006419CD">
            <w:pPr>
              <w:spacing w:after="0"/>
              <w:rPr>
                <w:rFonts w:ascii="Times New Roman" w:hAnsi="Times New Roman"/>
                <w:sz w:val="22"/>
                <w:szCs w:val="22"/>
              </w:rPr>
            </w:pPr>
            <w:r w:rsidRPr="00A30F10">
              <w:rPr>
                <w:rFonts w:ascii="Times New Roman" w:hAnsi="Times New Roman"/>
                <w:sz w:val="22"/>
                <w:szCs w:val="22"/>
              </w:rPr>
              <w:t>2.2.1 Project team travels - both local and international</w:t>
            </w:r>
          </w:p>
        </w:tc>
        <w:tc>
          <w:tcPr>
            <w:tcW w:w="1783" w:type="dxa"/>
          </w:tcPr>
          <w:p w14:paraId="6070A9CE" w14:textId="45AF1BA1" w:rsidR="006419CD" w:rsidRDefault="00A30F10" w:rsidP="006419CD">
            <w:pPr>
              <w:spacing w:after="0"/>
              <w:rPr>
                <w:rFonts w:ascii="Times New Roman" w:hAnsi="Times New Roman"/>
                <w:sz w:val="22"/>
                <w:szCs w:val="22"/>
              </w:rPr>
            </w:pPr>
            <w:r>
              <w:rPr>
                <w:rFonts w:ascii="Times New Roman" w:hAnsi="Times New Roman"/>
                <w:sz w:val="22"/>
                <w:szCs w:val="22"/>
              </w:rPr>
              <w:t>3060</w:t>
            </w:r>
          </w:p>
        </w:tc>
      </w:tr>
      <w:tr w:rsidR="006419CD" w14:paraId="43E62A61" w14:textId="77777777" w:rsidTr="00771D39">
        <w:tc>
          <w:tcPr>
            <w:tcW w:w="7285" w:type="dxa"/>
          </w:tcPr>
          <w:p w14:paraId="78215303" w14:textId="434DEE3C" w:rsidR="006419CD" w:rsidRDefault="00771D39" w:rsidP="006419CD">
            <w:pPr>
              <w:spacing w:after="0"/>
              <w:rPr>
                <w:rFonts w:ascii="Times New Roman" w:hAnsi="Times New Roman"/>
                <w:sz w:val="22"/>
                <w:szCs w:val="22"/>
              </w:rPr>
            </w:pPr>
            <w:r w:rsidRPr="00771D39">
              <w:rPr>
                <w:rFonts w:ascii="Times New Roman" w:hAnsi="Times New Roman"/>
                <w:sz w:val="22"/>
                <w:szCs w:val="22"/>
              </w:rPr>
              <w:lastRenderedPageBreak/>
              <w:t>3.2 Furniture, computer equipment Office laptops</w:t>
            </w:r>
          </w:p>
        </w:tc>
        <w:tc>
          <w:tcPr>
            <w:tcW w:w="1783" w:type="dxa"/>
          </w:tcPr>
          <w:p w14:paraId="317A8251" w14:textId="19AEB8BA" w:rsidR="006419CD" w:rsidRDefault="00B150E4" w:rsidP="006419CD">
            <w:pPr>
              <w:spacing w:after="0"/>
              <w:rPr>
                <w:rFonts w:ascii="Times New Roman" w:hAnsi="Times New Roman"/>
                <w:sz w:val="22"/>
                <w:szCs w:val="22"/>
              </w:rPr>
            </w:pPr>
            <w:r>
              <w:rPr>
                <w:rFonts w:ascii="Times New Roman" w:hAnsi="Times New Roman"/>
                <w:sz w:val="22"/>
                <w:szCs w:val="22"/>
              </w:rPr>
              <w:t>2550</w:t>
            </w:r>
          </w:p>
        </w:tc>
      </w:tr>
      <w:tr w:rsidR="006419CD" w14:paraId="0A9F8D22" w14:textId="77777777" w:rsidTr="00771D39">
        <w:tc>
          <w:tcPr>
            <w:tcW w:w="7285" w:type="dxa"/>
          </w:tcPr>
          <w:p w14:paraId="6FF4939E" w14:textId="3D0A9A9A" w:rsidR="006419CD" w:rsidRDefault="00F46C31" w:rsidP="006419CD">
            <w:pPr>
              <w:spacing w:after="0"/>
              <w:rPr>
                <w:rFonts w:ascii="Times New Roman" w:hAnsi="Times New Roman"/>
                <w:sz w:val="22"/>
                <w:szCs w:val="22"/>
              </w:rPr>
            </w:pPr>
            <w:r w:rsidRPr="00F46C31">
              <w:rPr>
                <w:rFonts w:ascii="Times New Roman" w:hAnsi="Times New Roman"/>
                <w:sz w:val="22"/>
                <w:szCs w:val="22"/>
              </w:rPr>
              <w:t>3.3 Video Projector</w:t>
            </w:r>
          </w:p>
        </w:tc>
        <w:tc>
          <w:tcPr>
            <w:tcW w:w="1783" w:type="dxa"/>
          </w:tcPr>
          <w:p w14:paraId="14D00013" w14:textId="1193B88F" w:rsidR="006419CD" w:rsidRDefault="00F46C31" w:rsidP="006419CD">
            <w:pPr>
              <w:spacing w:after="0"/>
              <w:rPr>
                <w:rFonts w:ascii="Times New Roman" w:hAnsi="Times New Roman"/>
                <w:sz w:val="22"/>
                <w:szCs w:val="22"/>
              </w:rPr>
            </w:pPr>
            <w:r>
              <w:rPr>
                <w:rFonts w:ascii="Times New Roman" w:hAnsi="Times New Roman"/>
                <w:sz w:val="22"/>
                <w:szCs w:val="22"/>
              </w:rPr>
              <w:t>8000</w:t>
            </w:r>
          </w:p>
        </w:tc>
      </w:tr>
      <w:tr w:rsidR="006419CD" w14:paraId="11E4E387" w14:textId="77777777" w:rsidTr="00771D39">
        <w:tc>
          <w:tcPr>
            <w:tcW w:w="7285" w:type="dxa"/>
          </w:tcPr>
          <w:p w14:paraId="25F5F59E" w14:textId="7A2AC391" w:rsidR="006419CD" w:rsidRDefault="005848BB" w:rsidP="006419CD">
            <w:pPr>
              <w:spacing w:after="0"/>
              <w:rPr>
                <w:rFonts w:ascii="Times New Roman" w:hAnsi="Times New Roman"/>
                <w:sz w:val="22"/>
                <w:szCs w:val="22"/>
              </w:rPr>
            </w:pPr>
            <w:r w:rsidRPr="005848BB">
              <w:rPr>
                <w:rFonts w:ascii="Times New Roman" w:hAnsi="Times New Roman"/>
                <w:sz w:val="22"/>
                <w:szCs w:val="22"/>
              </w:rPr>
              <w:t>4.3.1 Office supplies</w:t>
            </w:r>
          </w:p>
        </w:tc>
        <w:tc>
          <w:tcPr>
            <w:tcW w:w="1783" w:type="dxa"/>
          </w:tcPr>
          <w:p w14:paraId="67DC84F0" w14:textId="229801B0" w:rsidR="006419CD" w:rsidRDefault="00BF2461" w:rsidP="006419CD">
            <w:pPr>
              <w:spacing w:after="0"/>
              <w:rPr>
                <w:rFonts w:ascii="Times New Roman" w:hAnsi="Times New Roman"/>
                <w:sz w:val="22"/>
                <w:szCs w:val="22"/>
              </w:rPr>
            </w:pPr>
            <w:r>
              <w:rPr>
                <w:rFonts w:ascii="Times New Roman" w:hAnsi="Times New Roman"/>
                <w:sz w:val="22"/>
                <w:szCs w:val="22"/>
              </w:rPr>
              <w:t>6840</w:t>
            </w:r>
          </w:p>
        </w:tc>
      </w:tr>
      <w:tr w:rsidR="006419CD" w14:paraId="60AB0F43" w14:textId="77777777" w:rsidTr="00771D39">
        <w:tc>
          <w:tcPr>
            <w:tcW w:w="7285" w:type="dxa"/>
          </w:tcPr>
          <w:p w14:paraId="14F95A95" w14:textId="6121C747" w:rsidR="006419CD" w:rsidRDefault="00D417B3" w:rsidP="006419CD">
            <w:pPr>
              <w:spacing w:after="0"/>
              <w:rPr>
                <w:rFonts w:ascii="Times New Roman" w:hAnsi="Times New Roman"/>
                <w:sz w:val="22"/>
                <w:szCs w:val="22"/>
              </w:rPr>
            </w:pPr>
            <w:r w:rsidRPr="00D417B3">
              <w:rPr>
                <w:rFonts w:ascii="Times New Roman" w:hAnsi="Times New Roman"/>
                <w:sz w:val="22"/>
                <w:szCs w:val="22"/>
              </w:rPr>
              <w:t>5.1.1 Project promotional publication design and preparation</w:t>
            </w:r>
          </w:p>
        </w:tc>
        <w:tc>
          <w:tcPr>
            <w:tcW w:w="1783" w:type="dxa"/>
          </w:tcPr>
          <w:p w14:paraId="3D14C3DF" w14:textId="5BF4362F" w:rsidR="006419CD" w:rsidRDefault="00D417B3" w:rsidP="006419CD">
            <w:pPr>
              <w:spacing w:after="0"/>
              <w:rPr>
                <w:rFonts w:ascii="Times New Roman" w:hAnsi="Times New Roman"/>
                <w:sz w:val="22"/>
                <w:szCs w:val="22"/>
              </w:rPr>
            </w:pPr>
            <w:r>
              <w:rPr>
                <w:rFonts w:ascii="Times New Roman" w:hAnsi="Times New Roman"/>
                <w:sz w:val="22"/>
                <w:szCs w:val="22"/>
              </w:rPr>
              <w:t>650</w:t>
            </w:r>
          </w:p>
        </w:tc>
      </w:tr>
      <w:tr w:rsidR="00D417B3" w14:paraId="178F69EF" w14:textId="77777777" w:rsidTr="00771D39">
        <w:tc>
          <w:tcPr>
            <w:tcW w:w="7285" w:type="dxa"/>
          </w:tcPr>
          <w:p w14:paraId="7431DC19" w14:textId="6B668322" w:rsidR="00D417B3" w:rsidRPr="00D417B3" w:rsidRDefault="00D417B3" w:rsidP="006419CD">
            <w:pPr>
              <w:spacing w:after="0"/>
              <w:rPr>
                <w:rFonts w:ascii="Times New Roman" w:hAnsi="Times New Roman"/>
                <w:sz w:val="22"/>
                <w:szCs w:val="22"/>
              </w:rPr>
            </w:pPr>
            <w:r w:rsidRPr="00D417B3">
              <w:rPr>
                <w:rFonts w:ascii="Times New Roman" w:hAnsi="Times New Roman"/>
                <w:sz w:val="22"/>
                <w:szCs w:val="22"/>
              </w:rPr>
              <w:t>5.3.1. Expenditure verification - audit reports</w:t>
            </w:r>
          </w:p>
        </w:tc>
        <w:tc>
          <w:tcPr>
            <w:tcW w:w="1783" w:type="dxa"/>
          </w:tcPr>
          <w:p w14:paraId="37D593AF" w14:textId="2ECFCFB6" w:rsidR="00D417B3" w:rsidRDefault="004A6B97" w:rsidP="006419CD">
            <w:pPr>
              <w:spacing w:after="0"/>
              <w:rPr>
                <w:rFonts w:ascii="Times New Roman" w:hAnsi="Times New Roman"/>
                <w:sz w:val="22"/>
                <w:szCs w:val="22"/>
              </w:rPr>
            </w:pPr>
            <w:r>
              <w:rPr>
                <w:rFonts w:ascii="Times New Roman" w:hAnsi="Times New Roman"/>
                <w:sz w:val="22"/>
                <w:szCs w:val="22"/>
              </w:rPr>
              <w:t>15000</w:t>
            </w:r>
          </w:p>
        </w:tc>
      </w:tr>
      <w:tr w:rsidR="004A6B97" w14:paraId="20F0F02F" w14:textId="77777777" w:rsidTr="00771D39">
        <w:tc>
          <w:tcPr>
            <w:tcW w:w="7285" w:type="dxa"/>
          </w:tcPr>
          <w:p w14:paraId="61A88141" w14:textId="7F52D4C4" w:rsidR="004A6B97" w:rsidRPr="00D417B3" w:rsidRDefault="007F2AD6" w:rsidP="006419CD">
            <w:pPr>
              <w:spacing w:after="0"/>
              <w:rPr>
                <w:rFonts w:ascii="Times New Roman" w:hAnsi="Times New Roman"/>
                <w:sz w:val="22"/>
                <w:szCs w:val="22"/>
              </w:rPr>
            </w:pPr>
            <w:r w:rsidRPr="007F2AD6">
              <w:rPr>
                <w:rFonts w:ascii="Times New Roman" w:hAnsi="Times New Roman"/>
                <w:sz w:val="22"/>
                <w:szCs w:val="22"/>
              </w:rPr>
              <w:t>5.4.1. FSTP evaluation - including overall project evaluation and FSTP evaluation</w:t>
            </w:r>
          </w:p>
        </w:tc>
        <w:tc>
          <w:tcPr>
            <w:tcW w:w="1783" w:type="dxa"/>
          </w:tcPr>
          <w:p w14:paraId="187378E0" w14:textId="41FD47EC" w:rsidR="004A6B97" w:rsidRDefault="007F2AD6" w:rsidP="006419CD">
            <w:pPr>
              <w:spacing w:after="0"/>
              <w:rPr>
                <w:rFonts w:ascii="Times New Roman" w:hAnsi="Times New Roman"/>
                <w:sz w:val="22"/>
                <w:szCs w:val="22"/>
              </w:rPr>
            </w:pPr>
            <w:r>
              <w:rPr>
                <w:rFonts w:ascii="Times New Roman" w:hAnsi="Times New Roman"/>
                <w:sz w:val="22"/>
                <w:szCs w:val="22"/>
              </w:rPr>
              <w:t>2500</w:t>
            </w:r>
          </w:p>
        </w:tc>
      </w:tr>
      <w:tr w:rsidR="007F2AD6" w14:paraId="6D9ED40D" w14:textId="77777777" w:rsidTr="00771D39">
        <w:tc>
          <w:tcPr>
            <w:tcW w:w="7285" w:type="dxa"/>
          </w:tcPr>
          <w:p w14:paraId="5D4A7530" w14:textId="13FAAB8C" w:rsidR="007F2AD6" w:rsidRPr="007F2AD6" w:rsidRDefault="00185CE8" w:rsidP="006419CD">
            <w:pPr>
              <w:spacing w:after="0"/>
              <w:rPr>
                <w:rFonts w:ascii="Times New Roman" w:hAnsi="Times New Roman"/>
                <w:sz w:val="22"/>
                <w:szCs w:val="22"/>
              </w:rPr>
            </w:pPr>
            <w:r w:rsidRPr="00185CE8">
              <w:rPr>
                <w:rFonts w:ascii="Times New Roman" w:hAnsi="Times New Roman"/>
                <w:sz w:val="22"/>
                <w:szCs w:val="22"/>
              </w:rPr>
              <w:t>5.7.1 KICK-OFF Conference Novi Sad - accommodation and meals for participants</w:t>
            </w:r>
          </w:p>
        </w:tc>
        <w:tc>
          <w:tcPr>
            <w:tcW w:w="1783" w:type="dxa"/>
          </w:tcPr>
          <w:p w14:paraId="0C7E8AC8" w14:textId="39759494" w:rsidR="007F2AD6" w:rsidRDefault="002E41CA" w:rsidP="006419CD">
            <w:pPr>
              <w:spacing w:after="0"/>
              <w:rPr>
                <w:rFonts w:ascii="Times New Roman" w:hAnsi="Times New Roman"/>
                <w:sz w:val="22"/>
                <w:szCs w:val="22"/>
              </w:rPr>
            </w:pPr>
            <w:r>
              <w:rPr>
                <w:rFonts w:ascii="Times New Roman" w:hAnsi="Times New Roman"/>
                <w:sz w:val="22"/>
                <w:szCs w:val="22"/>
              </w:rPr>
              <w:t>3000</w:t>
            </w:r>
          </w:p>
        </w:tc>
      </w:tr>
      <w:tr w:rsidR="004C5C6B" w14:paraId="1696D06A" w14:textId="77777777" w:rsidTr="00771D39">
        <w:tc>
          <w:tcPr>
            <w:tcW w:w="7285" w:type="dxa"/>
          </w:tcPr>
          <w:p w14:paraId="59A790D1" w14:textId="3DF4F623" w:rsidR="004C5C6B" w:rsidRPr="00185CE8" w:rsidRDefault="004C5C6B" w:rsidP="006419CD">
            <w:pPr>
              <w:spacing w:after="0"/>
              <w:rPr>
                <w:rFonts w:ascii="Times New Roman" w:hAnsi="Times New Roman"/>
                <w:sz w:val="22"/>
                <w:szCs w:val="22"/>
              </w:rPr>
            </w:pPr>
            <w:r w:rsidRPr="004C5C6B">
              <w:rPr>
                <w:rFonts w:ascii="Times New Roman" w:hAnsi="Times New Roman"/>
                <w:sz w:val="22"/>
                <w:szCs w:val="22"/>
              </w:rPr>
              <w:t>5.7.4.5.  District 5 NOVI SAD</w:t>
            </w:r>
          </w:p>
        </w:tc>
        <w:tc>
          <w:tcPr>
            <w:tcW w:w="1783" w:type="dxa"/>
          </w:tcPr>
          <w:p w14:paraId="0C6B9744" w14:textId="2BA303FC" w:rsidR="004C5C6B" w:rsidRDefault="002E41CA" w:rsidP="006419CD">
            <w:pPr>
              <w:spacing w:after="0"/>
              <w:rPr>
                <w:rFonts w:ascii="Times New Roman" w:hAnsi="Times New Roman"/>
                <w:sz w:val="22"/>
                <w:szCs w:val="22"/>
              </w:rPr>
            </w:pPr>
            <w:r>
              <w:rPr>
                <w:rFonts w:ascii="Times New Roman" w:hAnsi="Times New Roman"/>
                <w:sz w:val="22"/>
                <w:szCs w:val="22"/>
              </w:rPr>
              <w:t>14200</w:t>
            </w:r>
          </w:p>
        </w:tc>
      </w:tr>
      <w:tr w:rsidR="002E41CA" w14:paraId="42C0A19A" w14:textId="77777777" w:rsidTr="00771D39">
        <w:tc>
          <w:tcPr>
            <w:tcW w:w="7285" w:type="dxa"/>
          </w:tcPr>
          <w:p w14:paraId="33A28A3F" w14:textId="25359FE9" w:rsidR="002E41CA" w:rsidRPr="004C5C6B" w:rsidRDefault="002E41CA" w:rsidP="006419CD">
            <w:pPr>
              <w:spacing w:after="0"/>
              <w:rPr>
                <w:rFonts w:ascii="Times New Roman" w:hAnsi="Times New Roman"/>
                <w:sz w:val="22"/>
                <w:szCs w:val="22"/>
              </w:rPr>
            </w:pPr>
            <w:r w:rsidRPr="002E41CA">
              <w:rPr>
                <w:rFonts w:ascii="Times New Roman" w:hAnsi="Times New Roman"/>
                <w:sz w:val="22"/>
                <w:szCs w:val="22"/>
              </w:rPr>
              <w:t>5.7.4.5.1. Travel costs for the participants of the artistic productions and local panel participants</w:t>
            </w:r>
          </w:p>
        </w:tc>
        <w:tc>
          <w:tcPr>
            <w:tcW w:w="1783" w:type="dxa"/>
          </w:tcPr>
          <w:p w14:paraId="7D9E7377" w14:textId="1C469009" w:rsidR="002E41CA" w:rsidRDefault="00EF12CC" w:rsidP="006419CD">
            <w:pPr>
              <w:spacing w:after="0"/>
              <w:rPr>
                <w:rFonts w:ascii="Times New Roman" w:hAnsi="Times New Roman"/>
                <w:sz w:val="22"/>
                <w:szCs w:val="22"/>
              </w:rPr>
            </w:pPr>
            <w:r>
              <w:rPr>
                <w:rFonts w:ascii="Times New Roman" w:hAnsi="Times New Roman"/>
                <w:sz w:val="22"/>
                <w:szCs w:val="22"/>
              </w:rPr>
              <w:t>9300</w:t>
            </w:r>
          </w:p>
        </w:tc>
      </w:tr>
      <w:tr w:rsidR="00EF12CC" w14:paraId="50A9F8CD" w14:textId="77777777" w:rsidTr="00771D39">
        <w:tc>
          <w:tcPr>
            <w:tcW w:w="7285" w:type="dxa"/>
          </w:tcPr>
          <w:p w14:paraId="23F085DD" w14:textId="2FB57F9E" w:rsidR="00EF12CC" w:rsidRPr="002E41CA" w:rsidRDefault="00EF12CC" w:rsidP="006419CD">
            <w:pPr>
              <w:spacing w:after="0"/>
              <w:rPr>
                <w:rFonts w:ascii="Times New Roman" w:hAnsi="Times New Roman"/>
                <w:sz w:val="22"/>
                <w:szCs w:val="22"/>
              </w:rPr>
            </w:pPr>
            <w:r w:rsidRPr="00EF12CC">
              <w:rPr>
                <w:rFonts w:ascii="Times New Roman" w:hAnsi="Times New Roman"/>
                <w:sz w:val="22"/>
                <w:szCs w:val="22"/>
              </w:rPr>
              <w:t xml:space="preserve">5.7.4.5.2. Service of delivering of local artistic/cultural and panel programme  </w:t>
            </w:r>
          </w:p>
        </w:tc>
        <w:tc>
          <w:tcPr>
            <w:tcW w:w="1783" w:type="dxa"/>
          </w:tcPr>
          <w:p w14:paraId="5D4C3C16" w14:textId="35B390BA" w:rsidR="00EF12CC" w:rsidRDefault="00EF12CC" w:rsidP="006419CD">
            <w:pPr>
              <w:spacing w:after="0"/>
              <w:rPr>
                <w:rFonts w:ascii="Times New Roman" w:hAnsi="Times New Roman"/>
                <w:sz w:val="22"/>
                <w:szCs w:val="22"/>
              </w:rPr>
            </w:pPr>
            <w:r>
              <w:rPr>
                <w:rFonts w:ascii="Times New Roman" w:hAnsi="Times New Roman"/>
                <w:sz w:val="22"/>
                <w:szCs w:val="22"/>
              </w:rPr>
              <w:t>5100</w:t>
            </w:r>
          </w:p>
        </w:tc>
      </w:tr>
      <w:tr w:rsidR="00EF12CC" w14:paraId="272348E2" w14:textId="77777777" w:rsidTr="00771D39">
        <w:tc>
          <w:tcPr>
            <w:tcW w:w="7285" w:type="dxa"/>
          </w:tcPr>
          <w:p w14:paraId="5A03FFC5" w14:textId="73D82680" w:rsidR="00EF12CC" w:rsidRPr="00EF12CC" w:rsidRDefault="000218CF" w:rsidP="006419CD">
            <w:pPr>
              <w:spacing w:after="0"/>
              <w:rPr>
                <w:rFonts w:ascii="Times New Roman" w:hAnsi="Times New Roman"/>
                <w:sz w:val="22"/>
                <w:szCs w:val="22"/>
              </w:rPr>
            </w:pPr>
            <w:r w:rsidRPr="000218CF">
              <w:rPr>
                <w:rFonts w:ascii="Times New Roman" w:hAnsi="Times New Roman"/>
                <w:sz w:val="22"/>
                <w:szCs w:val="22"/>
              </w:rPr>
              <w:t xml:space="preserve">5.7.4.5.3. District's curation and </w:t>
            </w:r>
            <w:proofErr w:type="spellStart"/>
            <w:r w:rsidRPr="000218CF">
              <w:rPr>
                <w:rFonts w:ascii="Times New Roman" w:hAnsi="Times New Roman"/>
                <w:sz w:val="22"/>
                <w:szCs w:val="22"/>
              </w:rPr>
              <w:t>programing</w:t>
            </w:r>
            <w:proofErr w:type="spellEnd"/>
            <w:r w:rsidRPr="000218CF">
              <w:rPr>
                <w:rFonts w:ascii="Times New Roman" w:hAnsi="Times New Roman"/>
                <w:sz w:val="22"/>
                <w:szCs w:val="22"/>
              </w:rPr>
              <w:t xml:space="preserve"> coordination</w:t>
            </w:r>
          </w:p>
        </w:tc>
        <w:tc>
          <w:tcPr>
            <w:tcW w:w="1783" w:type="dxa"/>
          </w:tcPr>
          <w:p w14:paraId="667810A4" w14:textId="3F136216" w:rsidR="00EF12CC" w:rsidRDefault="000218CF" w:rsidP="006419CD">
            <w:pPr>
              <w:spacing w:after="0"/>
              <w:rPr>
                <w:rFonts w:ascii="Times New Roman" w:hAnsi="Times New Roman"/>
                <w:sz w:val="22"/>
                <w:szCs w:val="22"/>
              </w:rPr>
            </w:pPr>
            <w:r>
              <w:rPr>
                <w:rFonts w:ascii="Times New Roman" w:hAnsi="Times New Roman"/>
                <w:sz w:val="22"/>
                <w:szCs w:val="22"/>
              </w:rPr>
              <w:t>3600</w:t>
            </w:r>
          </w:p>
        </w:tc>
      </w:tr>
      <w:tr w:rsidR="000218CF" w14:paraId="3CE7792D" w14:textId="77777777" w:rsidTr="00771D39">
        <w:tc>
          <w:tcPr>
            <w:tcW w:w="7285" w:type="dxa"/>
          </w:tcPr>
          <w:p w14:paraId="317D65B7" w14:textId="25D18BE5" w:rsidR="000218CF" w:rsidRPr="000218CF" w:rsidRDefault="000218CF" w:rsidP="006419CD">
            <w:pPr>
              <w:spacing w:after="0"/>
              <w:rPr>
                <w:rFonts w:ascii="Times New Roman" w:hAnsi="Times New Roman"/>
                <w:sz w:val="22"/>
                <w:szCs w:val="22"/>
              </w:rPr>
            </w:pPr>
            <w:r w:rsidRPr="000218CF">
              <w:rPr>
                <w:rFonts w:ascii="Times New Roman" w:hAnsi="Times New Roman"/>
                <w:sz w:val="22"/>
                <w:szCs w:val="22"/>
              </w:rPr>
              <w:t xml:space="preserve">5.7.4.5.4. Technical production costs, technical production: space, </w:t>
            </w:r>
            <w:proofErr w:type="spellStart"/>
            <w:proofErr w:type="gramStart"/>
            <w:r w:rsidRPr="000218CF">
              <w:rPr>
                <w:rFonts w:ascii="Times New Roman" w:hAnsi="Times New Roman"/>
                <w:sz w:val="22"/>
                <w:szCs w:val="22"/>
              </w:rPr>
              <w:t>staging,sound</w:t>
            </w:r>
            <w:proofErr w:type="spellEnd"/>
            <w:proofErr w:type="gramEnd"/>
            <w:r w:rsidRPr="000218CF">
              <w:rPr>
                <w:rFonts w:ascii="Times New Roman" w:hAnsi="Times New Roman"/>
                <w:sz w:val="22"/>
                <w:szCs w:val="22"/>
              </w:rPr>
              <w:t xml:space="preserve"> system, lighting system, projectors, technical producer, technician,</w:t>
            </w:r>
          </w:p>
        </w:tc>
        <w:tc>
          <w:tcPr>
            <w:tcW w:w="1783" w:type="dxa"/>
          </w:tcPr>
          <w:p w14:paraId="32B3F5BF" w14:textId="13C9A53E" w:rsidR="000218CF" w:rsidRDefault="000218CF" w:rsidP="006419CD">
            <w:pPr>
              <w:spacing w:after="0"/>
              <w:rPr>
                <w:rFonts w:ascii="Times New Roman" w:hAnsi="Times New Roman"/>
                <w:sz w:val="22"/>
                <w:szCs w:val="22"/>
              </w:rPr>
            </w:pPr>
            <w:r>
              <w:rPr>
                <w:rFonts w:ascii="Times New Roman" w:hAnsi="Times New Roman"/>
                <w:sz w:val="22"/>
                <w:szCs w:val="22"/>
              </w:rPr>
              <w:t>6000</w:t>
            </w:r>
          </w:p>
        </w:tc>
      </w:tr>
      <w:tr w:rsidR="000218CF" w14:paraId="5C66C018" w14:textId="77777777" w:rsidTr="00771D39">
        <w:tc>
          <w:tcPr>
            <w:tcW w:w="7285" w:type="dxa"/>
          </w:tcPr>
          <w:p w14:paraId="743A9C89" w14:textId="24C08A07" w:rsidR="000218CF" w:rsidRPr="000218CF" w:rsidRDefault="00A730CF" w:rsidP="006419CD">
            <w:pPr>
              <w:spacing w:after="0"/>
              <w:rPr>
                <w:rFonts w:ascii="Times New Roman" w:hAnsi="Times New Roman"/>
                <w:sz w:val="22"/>
                <w:szCs w:val="22"/>
              </w:rPr>
            </w:pPr>
            <w:r w:rsidRPr="00A730CF">
              <w:rPr>
                <w:rFonts w:ascii="Times New Roman" w:hAnsi="Times New Roman"/>
                <w:sz w:val="22"/>
                <w:szCs w:val="22"/>
              </w:rPr>
              <w:t xml:space="preserve">5.7.4.5.5. </w:t>
            </w:r>
            <w:proofErr w:type="spellStart"/>
            <w:proofErr w:type="gramStart"/>
            <w:r w:rsidRPr="00A730CF">
              <w:rPr>
                <w:rFonts w:ascii="Times New Roman" w:hAnsi="Times New Roman"/>
                <w:sz w:val="22"/>
                <w:szCs w:val="22"/>
              </w:rPr>
              <w:t>Design,preparation</w:t>
            </w:r>
            <w:proofErr w:type="spellEnd"/>
            <w:proofErr w:type="gramEnd"/>
            <w:r w:rsidRPr="00A730CF">
              <w:rPr>
                <w:rFonts w:ascii="Times New Roman" w:hAnsi="Times New Roman"/>
                <w:sz w:val="22"/>
                <w:szCs w:val="22"/>
              </w:rPr>
              <w:t xml:space="preserve"> and printing of promotion materials, photo and video shooting costs</w:t>
            </w:r>
          </w:p>
        </w:tc>
        <w:tc>
          <w:tcPr>
            <w:tcW w:w="1783" w:type="dxa"/>
          </w:tcPr>
          <w:p w14:paraId="0794394C" w14:textId="79D36FE4" w:rsidR="000218CF" w:rsidRDefault="00A730CF" w:rsidP="006419CD">
            <w:pPr>
              <w:spacing w:after="0"/>
              <w:rPr>
                <w:rFonts w:ascii="Times New Roman" w:hAnsi="Times New Roman"/>
                <w:sz w:val="22"/>
                <w:szCs w:val="22"/>
              </w:rPr>
            </w:pPr>
            <w:r>
              <w:rPr>
                <w:rFonts w:ascii="Times New Roman" w:hAnsi="Times New Roman"/>
                <w:sz w:val="22"/>
                <w:szCs w:val="22"/>
              </w:rPr>
              <w:t>4400</w:t>
            </w:r>
          </w:p>
        </w:tc>
      </w:tr>
      <w:tr w:rsidR="00A730CF" w14:paraId="2A162BDF" w14:textId="77777777" w:rsidTr="00771D39">
        <w:tc>
          <w:tcPr>
            <w:tcW w:w="7285" w:type="dxa"/>
          </w:tcPr>
          <w:p w14:paraId="79FE58A0" w14:textId="099CCF4B" w:rsidR="00A730CF" w:rsidRPr="00A730CF" w:rsidRDefault="00F73A3F" w:rsidP="006419CD">
            <w:pPr>
              <w:spacing w:after="0"/>
              <w:rPr>
                <w:rFonts w:ascii="Times New Roman" w:hAnsi="Times New Roman"/>
                <w:sz w:val="22"/>
                <w:szCs w:val="22"/>
              </w:rPr>
            </w:pPr>
            <w:r w:rsidRPr="00F73A3F">
              <w:rPr>
                <w:rFonts w:ascii="Times New Roman" w:hAnsi="Times New Roman"/>
                <w:sz w:val="22"/>
                <w:szCs w:val="22"/>
              </w:rPr>
              <w:t>5.7.5. Closing Conference and PMT meeting Novi S</w:t>
            </w:r>
            <w:r>
              <w:rPr>
                <w:rFonts w:ascii="Times New Roman" w:hAnsi="Times New Roman"/>
                <w:sz w:val="22"/>
                <w:szCs w:val="22"/>
              </w:rPr>
              <w:t>ad</w:t>
            </w:r>
          </w:p>
        </w:tc>
        <w:tc>
          <w:tcPr>
            <w:tcW w:w="1783" w:type="dxa"/>
          </w:tcPr>
          <w:p w14:paraId="2D9AE37E" w14:textId="5CBC2C7F" w:rsidR="00A730CF" w:rsidRDefault="00F73A3F" w:rsidP="006419CD">
            <w:pPr>
              <w:spacing w:after="0"/>
              <w:rPr>
                <w:rFonts w:ascii="Times New Roman" w:hAnsi="Times New Roman"/>
                <w:sz w:val="22"/>
                <w:szCs w:val="22"/>
              </w:rPr>
            </w:pPr>
            <w:r>
              <w:rPr>
                <w:rFonts w:ascii="Times New Roman" w:hAnsi="Times New Roman"/>
                <w:sz w:val="22"/>
                <w:szCs w:val="22"/>
              </w:rPr>
              <w:t>2700</w:t>
            </w:r>
          </w:p>
        </w:tc>
      </w:tr>
      <w:tr w:rsidR="00F73A3F" w14:paraId="273F2782" w14:textId="77777777" w:rsidTr="00771D39">
        <w:tc>
          <w:tcPr>
            <w:tcW w:w="7285" w:type="dxa"/>
          </w:tcPr>
          <w:p w14:paraId="561E1A19" w14:textId="47C431CF" w:rsidR="00F73A3F" w:rsidRPr="00F73A3F" w:rsidRDefault="005C250B" w:rsidP="006419CD">
            <w:pPr>
              <w:spacing w:after="0"/>
              <w:rPr>
                <w:rFonts w:ascii="Times New Roman" w:hAnsi="Times New Roman"/>
                <w:sz w:val="22"/>
                <w:szCs w:val="22"/>
              </w:rPr>
            </w:pPr>
            <w:r w:rsidRPr="005C250B">
              <w:rPr>
                <w:rFonts w:ascii="Times New Roman" w:hAnsi="Times New Roman"/>
                <w:sz w:val="22"/>
                <w:szCs w:val="22"/>
              </w:rPr>
              <w:t>5.11.1. Project identity and visual design service</w:t>
            </w:r>
          </w:p>
        </w:tc>
        <w:tc>
          <w:tcPr>
            <w:tcW w:w="1783" w:type="dxa"/>
          </w:tcPr>
          <w:p w14:paraId="5BDC2332" w14:textId="665A8628" w:rsidR="00F73A3F" w:rsidRDefault="005C250B" w:rsidP="006419CD">
            <w:pPr>
              <w:spacing w:after="0"/>
              <w:rPr>
                <w:rFonts w:ascii="Times New Roman" w:hAnsi="Times New Roman"/>
                <w:sz w:val="22"/>
                <w:szCs w:val="22"/>
              </w:rPr>
            </w:pPr>
            <w:r>
              <w:rPr>
                <w:rFonts w:ascii="Times New Roman" w:hAnsi="Times New Roman"/>
                <w:sz w:val="22"/>
                <w:szCs w:val="22"/>
              </w:rPr>
              <w:t>650</w:t>
            </w:r>
          </w:p>
        </w:tc>
      </w:tr>
      <w:tr w:rsidR="005C250B" w14:paraId="31F9848B" w14:textId="77777777" w:rsidTr="00771D39">
        <w:tc>
          <w:tcPr>
            <w:tcW w:w="7285" w:type="dxa"/>
          </w:tcPr>
          <w:p w14:paraId="779B1486" w14:textId="1F6B0B80" w:rsidR="005C250B" w:rsidRPr="005C250B" w:rsidRDefault="00E4470E" w:rsidP="006419CD">
            <w:pPr>
              <w:spacing w:after="0"/>
              <w:rPr>
                <w:rFonts w:ascii="Times New Roman" w:hAnsi="Times New Roman"/>
                <w:sz w:val="22"/>
                <w:szCs w:val="22"/>
              </w:rPr>
            </w:pPr>
            <w:r w:rsidRPr="00E4470E">
              <w:rPr>
                <w:rFonts w:ascii="Times New Roman" w:hAnsi="Times New Roman"/>
                <w:sz w:val="22"/>
                <w:szCs w:val="22"/>
              </w:rPr>
              <w:t>5.11.1. Branding materials: branded items T-shirts, caps, bags, pens, and promotional merchandise</w:t>
            </w:r>
          </w:p>
        </w:tc>
        <w:tc>
          <w:tcPr>
            <w:tcW w:w="1783" w:type="dxa"/>
          </w:tcPr>
          <w:p w14:paraId="136F5AC2" w14:textId="6A46471C" w:rsidR="005C250B" w:rsidRDefault="004D097F" w:rsidP="006419CD">
            <w:pPr>
              <w:spacing w:after="0"/>
              <w:rPr>
                <w:rFonts w:ascii="Times New Roman" w:hAnsi="Times New Roman"/>
                <w:sz w:val="22"/>
                <w:szCs w:val="22"/>
              </w:rPr>
            </w:pPr>
            <w:r>
              <w:rPr>
                <w:rFonts w:ascii="Times New Roman" w:hAnsi="Times New Roman"/>
                <w:sz w:val="22"/>
                <w:szCs w:val="22"/>
              </w:rPr>
              <w:t>6000</w:t>
            </w:r>
          </w:p>
        </w:tc>
      </w:tr>
      <w:tr w:rsidR="004D097F" w14:paraId="2A4F3FCE" w14:textId="77777777" w:rsidTr="00771D39">
        <w:tc>
          <w:tcPr>
            <w:tcW w:w="7285" w:type="dxa"/>
          </w:tcPr>
          <w:p w14:paraId="7F0FEC62" w14:textId="7D6B2718" w:rsidR="004D097F" w:rsidRPr="00E4470E" w:rsidRDefault="004D097F" w:rsidP="006419CD">
            <w:pPr>
              <w:spacing w:after="0"/>
              <w:rPr>
                <w:rFonts w:ascii="Times New Roman" w:hAnsi="Times New Roman"/>
                <w:sz w:val="22"/>
                <w:szCs w:val="22"/>
              </w:rPr>
            </w:pPr>
            <w:r w:rsidRPr="004D097F">
              <w:rPr>
                <w:rFonts w:ascii="Times New Roman" w:hAnsi="Times New Roman"/>
                <w:sz w:val="22"/>
                <w:szCs w:val="22"/>
              </w:rPr>
              <w:t>5.11.</w:t>
            </w:r>
            <w:proofErr w:type="gramStart"/>
            <w:r w:rsidRPr="004D097F">
              <w:rPr>
                <w:rFonts w:ascii="Times New Roman" w:hAnsi="Times New Roman"/>
                <w:sz w:val="22"/>
                <w:szCs w:val="22"/>
              </w:rPr>
              <w:t>2.Ooutdoor</w:t>
            </w:r>
            <w:proofErr w:type="gramEnd"/>
            <w:r w:rsidRPr="004D097F">
              <w:rPr>
                <w:rFonts w:ascii="Times New Roman" w:hAnsi="Times New Roman"/>
                <w:sz w:val="22"/>
                <w:szCs w:val="22"/>
              </w:rPr>
              <w:t xml:space="preserve"> and indoor promotion visibility services</w:t>
            </w:r>
          </w:p>
        </w:tc>
        <w:tc>
          <w:tcPr>
            <w:tcW w:w="1783" w:type="dxa"/>
          </w:tcPr>
          <w:p w14:paraId="20EC74F3" w14:textId="54D80626" w:rsidR="004D097F" w:rsidRDefault="00BA7303" w:rsidP="006419CD">
            <w:pPr>
              <w:spacing w:after="0"/>
              <w:rPr>
                <w:rFonts w:ascii="Times New Roman" w:hAnsi="Times New Roman"/>
                <w:sz w:val="22"/>
                <w:szCs w:val="22"/>
              </w:rPr>
            </w:pPr>
            <w:r>
              <w:rPr>
                <w:rFonts w:ascii="Times New Roman" w:hAnsi="Times New Roman"/>
                <w:sz w:val="22"/>
                <w:szCs w:val="22"/>
              </w:rPr>
              <w:t>7520</w:t>
            </w:r>
          </w:p>
        </w:tc>
      </w:tr>
      <w:tr w:rsidR="00BA7303" w14:paraId="5C94F109" w14:textId="77777777" w:rsidTr="00771D39">
        <w:tc>
          <w:tcPr>
            <w:tcW w:w="7285" w:type="dxa"/>
          </w:tcPr>
          <w:p w14:paraId="1634CCC5" w14:textId="00D544C0" w:rsidR="00BA7303" w:rsidRPr="004D097F" w:rsidRDefault="00BA7303" w:rsidP="006419CD">
            <w:pPr>
              <w:spacing w:after="0"/>
              <w:rPr>
                <w:rFonts w:ascii="Times New Roman" w:hAnsi="Times New Roman"/>
                <w:sz w:val="22"/>
                <w:szCs w:val="22"/>
              </w:rPr>
            </w:pPr>
            <w:r w:rsidRPr="00BA7303">
              <w:rPr>
                <w:rFonts w:ascii="Times New Roman" w:hAnsi="Times New Roman"/>
                <w:sz w:val="22"/>
                <w:szCs w:val="22"/>
              </w:rPr>
              <w:t>5.11.3. Regional influencer promotional campaign</w:t>
            </w:r>
          </w:p>
        </w:tc>
        <w:tc>
          <w:tcPr>
            <w:tcW w:w="1783" w:type="dxa"/>
          </w:tcPr>
          <w:p w14:paraId="02A05978" w14:textId="1354B88F" w:rsidR="00BA7303" w:rsidRDefault="00BA7303" w:rsidP="006419CD">
            <w:pPr>
              <w:spacing w:after="0"/>
              <w:rPr>
                <w:rFonts w:ascii="Times New Roman" w:hAnsi="Times New Roman"/>
                <w:sz w:val="22"/>
                <w:szCs w:val="22"/>
              </w:rPr>
            </w:pPr>
            <w:r>
              <w:rPr>
                <w:rFonts w:ascii="Times New Roman" w:hAnsi="Times New Roman"/>
                <w:sz w:val="22"/>
                <w:szCs w:val="22"/>
              </w:rPr>
              <w:t>600</w:t>
            </w:r>
          </w:p>
        </w:tc>
      </w:tr>
      <w:tr w:rsidR="00BA7303" w14:paraId="69F6314A" w14:textId="77777777" w:rsidTr="00771D39">
        <w:tc>
          <w:tcPr>
            <w:tcW w:w="7285" w:type="dxa"/>
          </w:tcPr>
          <w:p w14:paraId="7AAECC2C" w14:textId="44E4D0F5" w:rsidR="00BA7303" w:rsidRPr="00BA7303" w:rsidRDefault="00CE6BB8" w:rsidP="006419CD">
            <w:pPr>
              <w:spacing w:after="0"/>
              <w:rPr>
                <w:rFonts w:ascii="Times New Roman" w:hAnsi="Times New Roman"/>
                <w:sz w:val="22"/>
                <w:szCs w:val="22"/>
              </w:rPr>
            </w:pPr>
            <w:r w:rsidRPr="00CE6BB8">
              <w:rPr>
                <w:rFonts w:ascii="Times New Roman" w:hAnsi="Times New Roman"/>
                <w:sz w:val="22"/>
                <w:szCs w:val="22"/>
              </w:rPr>
              <w:t>5.11.4. Social media management and digital campaign</w:t>
            </w:r>
          </w:p>
        </w:tc>
        <w:tc>
          <w:tcPr>
            <w:tcW w:w="1783" w:type="dxa"/>
          </w:tcPr>
          <w:p w14:paraId="1EDB9BD6" w14:textId="77DC3196" w:rsidR="00BA7303" w:rsidRDefault="00CE6BB8" w:rsidP="006419CD">
            <w:pPr>
              <w:spacing w:after="0"/>
              <w:rPr>
                <w:rFonts w:ascii="Times New Roman" w:hAnsi="Times New Roman"/>
                <w:sz w:val="22"/>
                <w:szCs w:val="22"/>
              </w:rPr>
            </w:pPr>
            <w:r>
              <w:rPr>
                <w:rFonts w:ascii="Times New Roman" w:hAnsi="Times New Roman"/>
                <w:sz w:val="22"/>
                <w:szCs w:val="22"/>
              </w:rPr>
              <w:t>7500</w:t>
            </w:r>
          </w:p>
        </w:tc>
      </w:tr>
      <w:tr w:rsidR="00CE6BB8" w14:paraId="1D54124F" w14:textId="77777777" w:rsidTr="00771D39">
        <w:tc>
          <w:tcPr>
            <w:tcW w:w="7285" w:type="dxa"/>
          </w:tcPr>
          <w:p w14:paraId="1E0E79FF" w14:textId="70281D1F" w:rsidR="00CE6BB8" w:rsidRPr="00CE6BB8" w:rsidRDefault="00CE6BB8" w:rsidP="006419CD">
            <w:pPr>
              <w:spacing w:after="0"/>
              <w:rPr>
                <w:rFonts w:ascii="Times New Roman" w:hAnsi="Times New Roman"/>
                <w:sz w:val="22"/>
                <w:szCs w:val="22"/>
              </w:rPr>
            </w:pPr>
            <w:r w:rsidRPr="00CE6BB8">
              <w:rPr>
                <w:rFonts w:ascii="Times New Roman" w:hAnsi="Times New Roman"/>
                <w:sz w:val="22"/>
                <w:szCs w:val="22"/>
              </w:rPr>
              <w:t>5.11.</w:t>
            </w:r>
            <w:proofErr w:type="gramStart"/>
            <w:r w:rsidRPr="00CE6BB8">
              <w:rPr>
                <w:rFonts w:ascii="Times New Roman" w:hAnsi="Times New Roman"/>
                <w:sz w:val="22"/>
                <w:szCs w:val="22"/>
              </w:rPr>
              <w:t>5.Sponsored</w:t>
            </w:r>
            <w:proofErr w:type="gramEnd"/>
            <w:r w:rsidRPr="00CE6BB8">
              <w:rPr>
                <w:rFonts w:ascii="Times New Roman" w:hAnsi="Times New Roman"/>
                <w:sz w:val="22"/>
                <w:szCs w:val="22"/>
              </w:rPr>
              <w:t xml:space="preserve"> articles and PR texts in magazines</w:t>
            </w:r>
          </w:p>
        </w:tc>
        <w:tc>
          <w:tcPr>
            <w:tcW w:w="1783" w:type="dxa"/>
          </w:tcPr>
          <w:p w14:paraId="2C6AEEB3" w14:textId="2D828813" w:rsidR="00CE6BB8" w:rsidRDefault="0003069D" w:rsidP="006419CD">
            <w:pPr>
              <w:spacing w:after="0"/>
              <w:rPr>
                <w:rFonts w:ascii="Times New Roman" w:hAnsi="Times New Roman"/>
                <w:sz w:val="22"/>
                <w:szCs w:val="22"/>
              </w:rPr>
            </w:pPr>
            <w:r>
              <w:rPr>
                <w:rFonts w:ascii="Times New Roman" w:hAnsi="Times New Roman"/>
                <w:sz w:val="22"/>
                <w:szCs w:val="22"/>
              </w:rPr>
              <w:t>540</w:t>
            </w:r>
          </w:p>
        </w:tc>
      </w:tr>
      <w:tr w:rsidR="0003069D" w14:paraId="4D11AE3E" w14:textId="77777777" w:rsidTr="00771D39">
        <w:tc>
          <w:tcPr>
            <w:tcW w:w="7285" w:type="dxa"/>
          </w:tcPr>
          <w:p w14:paraId="5EF9C8BD" w14:textId="45F61C12" w:rsidR="0003069D" w:rsidRPr="00CE6BB8" w:rsidRDefault="0003069D" w:rsidP="006419CD">
            <w:pPr>
              <w:spacing w:after="0"/>
              <w:rPr>
                <w:rFonts w:ascii="Times New Roman" w:hAnsi="Times New Roman"/>
                <w:sz w:val="22"/>
                <w:szCs w:val="22"/>
              </w:rPr>
            </w:pPr>
            <w:r w:rsidRPr="0003069D">
              <w:rPr>
                <w:rFonts w:ascii="Times New Roman" w:hAnsi="Times New Roman"/>
                <w:sz w:val="22"/>
                <w:szCs w:val="22"/>
              </w:rPr>
              <w:t>5.11.6. Production of short promo films and video animations for project campaign</w:t>
            </w:r>
          </w:p>
        </w:tc>
        <w:tc>
          <w:tcPr>
            <w:tcW w:w="1783" w:type="dxa"/>
          </w:tcPr>
          <w:p w14:paraId="2F96F3BF" w14:textId="2F04BA9F" w:rsidR="0003069D" w:rsidRDefault="0003069D" w:rsidP="006419CD">
            <w:pPr>
              <w:spacing w:after="0"/>
              <w:rPr>
                <w:rFonts w:ascii="Times New Roman" w:hAnsi="Times New Roman"/>
                <w:sz w:val="22"/>
                <w:szCs w:val="22"/>
              </w:rPr>
            </w:pPr>
            <w:r>
              <w:rPr>
                <w:rFonts w:ascii="Times New Roman" w:hAnsi="Times New Roman"/>
                <w:sz w:val="22"/>
                <w:szCs w:val="22"/>
              </w:rPr>
              <w:t>1200</w:t>
            </w:r>
          </w:p>
        </w:tc>
      </w:tr>
      <w:tr w:rsidR="0003069D" w14:paraId="3D5E2C34" w14:textId="77777777" w:rsidTr="00771D39">
        <w:tc>
          <w:tcPr>
            <w:tcW w:w="7285" w:type="dxa"/>
          </w:tcPr>
          <w:p w14:paraId="2AAEBF27" w14:textId="3F026318" w:rsidR="0003069D" w:rsidRPr="0003069D" w:rsidRDefault="00396F47" w:rsidP="006419CD">
            <w:pPr>
              <w:spacing w:after="0"/>
              <w:rPr>
                <w:rFonts w:ascii="Times New Roman" w:hAnsi="Times New Roman"/>
                <w:sz w:val="22"/>
                <w:szCs w:val="22"/>
              </w:rPr>
            </w:pPr>
            <w:r w:rsidRPr="00396F47">
              <w:rPr>
                <w:rFonts w:ascii="Times New Roman" w:hAnsi="Times New Roman"/>
                <w:sz w:val="22"/>
                <w:szCs w:val="22"/>
              </w:rPr>
              <w:t>5.11.7. Production of the final after-movie</w:t>
            </w:r>
          </w:p>
        </w:tc>
        <w:tc>
          <w:tcPr>
            <w:tcW w:w="1783" w:type="dxa"/>
          </w:tcPr>
          <w:p w14:paraId="0CE80D98" w14:textId="665E2097" w:rsidR="0003069D" w:rsidRDefault="00396F47" w:rsidP="006419CD">
            <w:pPr>
              <w:spacing w:after="0"/>
              <w:rPr>
                <w:rFonts w:ascii="Times New Roman" w:hAnsi="Times New Roman"/>
                <w:sz w:val="22"/>
                <w:szCs w:val="22"/>
              </w:rPr>
            </w:pPr>
            <w:r>
              <w:rPr>
                <w:rFonts w:ascii="Times New Roman" w:hAnsi="Times New Roman"/>
                <w:sz w:val="22"/>
                <w:szCs w:val="22"/>
              </w:rPr>
              <w:t>2000</w:t>
            </w:r>
          </w:p>
        </w:tc>
      </w:tr>
    </w:tbl>
    <w:p w14:paraId="4E838E06" w14:textId="77777777" w:rsidR="006419CD" w:rsidRDefault="006419CD" w:rsidP="008D141B">
      <w:pPr>
        <w:rPr>
          <w:rFonts w:ascii="Times New Roman" w:hAnsi="Times New Roman"/>
          <w:sz w:val="22"/>
          <w:szCs w:val="22"/>
        </w:rPr>
      </w:pPr>
    </w:p>
    <w:p w14:paraId="640E54F7" w14:textId="33DFFDBF" w:rsidR="00B50635" w:rsidRPr="008A0D16" w:rsidRDefault="006A5BB0" w:rsidP="00032183">
      <w:pPr>
        <w:spacing w:before="100" w:beforeAutospacing="1" w:after="100" w:afterAutospacing="1"/>
        <w:rPr>
          <w:rFonts w:ascii="Times New Roman" w:hAnsi="Times New Roman"/>
          <w:sz w:val="22"/>
          <w:szCs w:val="22"/>
          <w:lang w:eastAsia="sr-Latn-RS"/>
        </w:rPr>
      </w:pPr>
      <w:r>
        <w:rPr>
          <w:rFonts w:ascii="Times New Roman" w:hAnsi="Times New Roman"/>
          <w:sz w:val="22"/>
          <w:szCs w:val="22"/>
        </w:rPr>
        <w:t xml:space="preserve">The contractor </w:t>
      </w:r>
      <w:proofErr w:type="gramStart"/>
      <w:r>
        <w:rPr>
          <w:rFonts w:ascii="Times New Roman" w:hAnsi="Times New Roman"/>
          <w:sz w:val="22"/>
          <w:szCs w:val="22"/>
        </w:rPr>
        <w:t>has to</w:t>
      </w:r>
      <w:proofErr w:type="gramEnd"/>
      <w:r>
        <w:rPr>
          <w:rFonts w:ascii="Times New Roman" w:hAnsi="Times New Roman"/>
          <w:sz w:val="22"/>
          <w:szCs w:val="22"/>
        </w:rPr>
        <w:t xml:space="preserve"> deliver the </w:t>
      </w:r>
      <w:r w:rsidR="009A6FD0">
        <w:rPr>
          <w:rFonts w:ascii="Times New Roman" w:hAnsi="Times New Roman"/>
          <w:sz w:val="22"/>
          <w:szCs w:val="22"/>
        </w:rPr>
        <w:t xml:space="preserve">procurement documents in a timely manner for the implementation of the project activities. </w:t>
      </w:r>
      <w:proofErr w:type="gramStart"/>
      <w:r w:rsidR="009A6FD0">
        <w:rPr>
          <w:rFonts w:ascii="Times New Roman" w:hAnsi="Times New Roman"/>
          <w:sz w:val="22"/>
          <w:szCs w:val="22"/>
        </w:rPr>
        <w:t>H</w:t>
      </w:r>
      <w:r w:rsidR="00220CC1">
        <w:rPr>
          <w:rFonts w:ascii="Times New Roman" w:hAnsi="Times New Roman"/>
          <w:sz w:val="22"/>
          <w:szCs w:val="22"/>
        </w:rPr>
        <w:t>as to</w:t>
      </w:r>
      <w:proofErr w:type="gramEnd"/>
      <w:r w:rsidR="00220CC1">
        <w:rPr>
          <w:rFonts w:ascii="Times New Roman" w:hAnsi="Times New Roman"/>
          <w:sz w:val="22"/>
          <w:szCs w:val="22"/>
        </w:rPr>
        <w:t xml:space="preserve"> be in close and constant communication with the Contracting Authority</w:t>
      </w:r>
      <w:r w:rsidR="00D33827">
        <w:rPr>
          <w:rFonts w:ascii="Times New Roman" w:hAnsi="Times New Roman"/>
          <w:sz w:val="22"/>
          <w:szCs w:val="22"/>
        </w:rPr>
        <w:t xml:space="preserve"> during the implementation of the contract</w:t>
      </w:r>
      <w:r w:rsidR="00220CC1">
        <w:rPr>
          <w:rFonts w:ascii="Times New Roman" w:hAnsi="Times New Roman"/>
          <w:sz w:val="22"/>
          <w:szCs w:val="22"/>
        </w:rPr>
        <w:t>.</w:t>
      </w:r>
      <w:r w:rsidR="00B3682E">
        <w:rPr>
          <w:rFonts w:ascii="Times New Roman" w:hAnsi="Times New Roman"/>
          <w:sz w:val="22"/>
          <w:szCs w:val="22"/>
        </w:rPr>
        <w:t xml:space="preserve"> The contractor will </w:t>
      </w:r>
      <w:r w:rsidR="00EE682A">
        <w:rPr>
          <w:rFonts w:ascii="Times New Roman" w:hAnsi="Times New Roman"/>
          <w:sz w:val="22"/>
          <w:szCs w:val="22"/>
        </w:rPr>
        <w:t xml:space="preserve">assist the Contracting Authority in keeping </w:t>
      </w:r>
      <w:r w:rsidR="00FF788B">
        <w:rPr>
          <w:rFonts w:ascii="Times New Roman" w:hAnsi="Times New Roman"/>
          <w:sz w:val="22"/>
          <w:szCs w:val="22"/>
        </w:rPr>
        <w:t xml:space="preserve">records of the public procurements. </w:t>
      </w:r>
      <w:r w:rsidR="00B50635" w:rsidRPr="008A0D16">
        <w:rPr>
          <w:rFonts w:ascii="Times New Roman" w:hAnsi="Times New Roman"/>
          <w:sz w:val="22"/>
          <w:szCs w:val="22"/>
          <w:lang w:eastAsia="sr-Latn-RS"/>
        </w:rPr>
        <w:t xml:space="preserve">The </w:t>
      </w:r>
      <w:r w:rsidR="0041552F">
        <w:rPr>
          <w:rFonts w:ascii="Times New Roman" w:hAnsi="Times New Roman"/>
          <w:sz w:val="22"/>
          <w:szCs w:val="22"/>
          <w:lang w:eastAsia="sr-Latn-RS"/>
        </w:rPr>
        <w:t>contractor</w:t>
      </w:r>
      <w:r w:rsidR="00B50635" w:rsidRPr="008A0D16">
        <w:rPr>
          <w:rFonts w:ascii="Times New Roman" w:hAnsi="Times New Roman"/>
          <w:sz w:val="22"/>
          <w:szCs w:val="22"/>
          <w:lang w:eastAsia="sr-Latn-RS"/>
        </w:rPr>
        <w:t xml:space="preserve"> will be responsible for ensuring that all procurement procedures within the EU-funded project are conducted in full compliance with the EU’s Practical Guide (PRAG) and relevant financial regulations. Their main tasks include:</w:t>
      </w:r>
    </w:p>
    <w:p w14:paraId="14DE74C1" w14:textId="77777777" w:rsidR="00B50635" w:rsidRPr="008A0D16" w:rsidRDefault="00B50635" w:rsidP="00B50635">
      <w:pPr>
        <w:numPr>
          <w:ilvl w:val="0"/>
          <w:numId w:val="25"/>
        </w:numPr>
        <w:spacing w:after="0"/>
        <w:jc w:val="left"/>
        <w:rPr>
          <w:rFonts w:ascii="Times New Roman" w:hAnsi="Times New Roman"/>
          <w:sz w:val="22"/>
          <w:szCs w:val="22"/>
          <w:lang w:eastAsia="sr-Latn-RS"/>
        </w:rPr>
      </w:pPr>
      <w:r w:rsidRPr="008A0D16">
        <w:rPr>
          <w:rFonts w:ascii="Times New Roman" w:hAnsi="Times New Roman"/>
          <w:sz w:val="22"/>
          <w:szCs w:val="22"/>
          <w:lang w:eastAsia="sr-Latn-RS"/>
        </w:rPr>
        <w:t>Advising the project team on the appropriate procurement procedures and thresholds under PRAG rules.</w:t>
      </w:r>
    </w:p>
    <w:p w14:paraId="3531CE9B" w14:textId="77777777" w:rsidR="00B50635" w:rsidRPr="008A0D16" w:rsidRDefault="00B50635" w:rsidP="00B50635">
      <w:pPr>
        <w:numPr>
          <w:ilvl w:val="0"/>
          <w:numId w:val="25"/>
        </w:numPr>
        <w:spacing w:after="0"/>
        <w:jc w:val="left"/>
        <w:rPr>
          <w:rFonts w:ascii="Times New Roman" w:hAnsi="Times New Roman"/>
          <w:sz w:val="22"/>
          <w:szCs w:val="22"/>
          <w:lang w:eastAsia="sr-Latn-RS"/>
        </w:rPr>
      </w:pPr>
      <w:r w:rsidRPr="008A0D16">
        <w:rPr>
          <w:rFonts w:ascii="Times New Roman" w:hAnsi="Times New Roman"/>
          <w:sz w:val="22"/>
          <w:szCs w:val="22"/>
          <w:lang w:eastAsia="sr-Latn-RS"/>
        </w:rPr>
        <w:t>Drafting and reviewing tender documents, including procurement notices, technical specifications, terms of reference, evaluation grids, and contracts.</w:t>
      </w:r>
    </w:p>
    <w:p w14:paraId="52CFD684" w14:textId="77777777" w:rsidR="00B50635" w:rsidRPr="008A0D16" w:rsidRDefault="00B50635" w:rsidP="00B50635">
      <w:pPr>
        <w:numPr>
          <w:ilvl w:val="0"/>
          <w:numId w:val="25"/>
        </w:numPr>
        <w:spacing w:after="0"/>
        <w:jc w:val="left"/>
        <w:rPr>
          <w:rFonts w:ascii="Times New Roman" w:hAnsi="Times New Roman"/>
          <w:sz w:val="22"/>
          <w:szCs w:val="22"/>
          <w:lang w:eastAsia="sr-Latn-RS"/>
        </w:rPr>
      </w:pPr>
      <w:r w:rsidRPr="008A0D16">
        <w:rPr>
          <w:rFonts w:ascii="Times New Roman" w:hAnsi="Times New Roman"/>
          <w:sz w:val="22"/>
          <w:szCs w:val="22"/>
          <w:lang w:eastAsia="sr-Latn-RS"/>
        </w:rPr>
        <w:t>Managing the procurement process, from launch to contract award, ensuring transparency, equal treatment, and sound financial management.</w:t>
      </w:r>
    </w:p>
    <w:p w14:paraId="1C3F9F4A" w14:textId="77777777" w:rsidR="00B50635" w:rsidRDefault="00B50635" w:rsidP="00B50635">
      <w:pPr>
        <w:numPr>
          <w:ilvl w:val="0"/>
          <w:numId w:val="25"/>
        </w:numPr>
        <w:spacing w:after="0"/>
        <w:jc w:val="left"/>
        <w:rPr>
          <w:rFonts w:ascii="Times New Roman" w:hAnsi="Times New Roman"/>
          <w:sz w:val="22"/>
          <w:szCs w:val="22"/>
          <w:lang w:eastAsia="sr-Latn-RS"/>
        </w:rPr>
      </w:pPr>
      <w:r w:rsidRPr="008A0D16">
        <w:rPr>
          <w:rFonts w:ascii="Times New Roman" w:hAnsi="Times New Roman"/>
          <w:sz w:val="22"/>
          <w:szCs w:val="22"/>
          <w:lang w:eastAsia="sr-Latn-RS"/>
        </w:rPr>
        <w:t>Supporting the evaluation process, including preparing evaluation reports and ensuring the proper functioning of evaluation committees.</w:t>
      </w:r>
    </w:p>
    <w:p w14:paraId="0D583FEE" w14:textId="13B83115" w:rsidR="006A5BB0" w:rsidRDefault="00B50635" w:rsidP="00B50635">
      <w:pPr>
        <w:numPr>
          <w:ilvl w:val="0"/>
          <w:numId w:val="25"/>
        </w:numPr>
        <w:spacing w:after="0"/>
        <w:jc w:val="left"/>
        <w:rPr>
          <w:rFonts w:ascii="Times New Roman" w:hAnsi="Times New Roman"/>
          <w:sz w:val="22"/>
          <w:szCs w:val="22"/>
          <w:lang w:eastAsia="sr-Latn-RS"/>
        </w:rPr>
      </w:pPr>
      <w:r w:rsidRPr="008A0D16">
        <w:rPr>
          <w:rFonts w:ascii="Times New Roman" w:hAnsi="Times New Roman"/>
          <w:sz w:val="22"/>
          <w:szCs w:val="22"/>
          <w:lang w:eastAsia="sr-Latn-RS"/>
        </w:rPr>
        <w:t>Maintaining proper documentation and audit trails for all procurement activities.</w:t>
      </w:r>
    </w:p>
    <w:p w14:paraId="3AC7025A" w14:textId="77777777" w:rsidR="00081DBB" w:rsidRPr="00B50635" w:rsidRDefault="00081DBB" w:rsidP="00081DBB">
      <w:pPr>
        <w:spacing w:after="0"/>
        <w:ind w:left="720"/>
        <w:jc w:val="left"/>
        <w:rPr>
          <w:rFonts w:ascii="Times New Roman" w:hAnsi="Times New Roman"/>
          <w:sz w:val="22"/>
          <w:szCs w:val="22"/>
          <w:lang w:eastAsia="sr-Latn-RS"/>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315D4CEC" w:rsidR="00D81857" w:rsidRPr="0063749B" w:rsidRDefault="0064692E" w:rsidP="008D141B">
      <w:pPr>
        <w:rPr>
          <w:rFonts w:ascii="Times New Roman" w:hAnsi="Times New Roman"/>
          <w:sz w:val="22"/>
          <w:szCs w:val="22"/>
        </w:rPr>
      </w:pPr>
      <w:r>
        <w:rPr>
          <w:rFonts w:ascii="Times New Roman" w:hAnsi="Times New Roman"/>
          <w:sz w:val="22"/>
          <w:szCs w:val="22"/>
        </w:rPr>
        <w:t xml:space="preserve">Foundation “Novi Sad – European Capital of Culture” </w:t>
      </w:r>
    </w:p>
    <w:p w14:paraId="668FE4E0" w14:textId="77777777" w:rsidR="00D81857" w:rsidRPr="0063749B" w:rsidRDefault="00D81857" w:rsidP="008D141B">
      <w:pPr>
        <w:pStyle w:val="Heading3"/>
        <w:keepNext w:val="0"/>
      </w:pPr>
      <w:r w:rsidRPr="0063749B">
        <w:t>Management structure</w:t>
      </w:r>
    </w:p>
    <w:p w14:paraId="394C431C" w14:textId="17A14305" w:rsidR="00D81857" w:rsidRPr="0063749B" w:rsidRDefault="0046347C" w:rsidP="008D141B">
      <w:pPr>
        <w:rPr>
          <w:rFonts w:ascii="Times New Roman" w:hAnsi="Times New Roman"/>
          <w:sz w:val="22"/>
          <w:szCs w:val="22"/>
        </w:rPr>
      </w:pPr>
      <w:r>
        <w:rPr>
          <w:rFonts w:ascii="Times New Roman" w:hAnsi="Times New Roman"/>
          <w:sz w:val="22"/>
          <w:szCs w:val="22"/>
        </w:rPr>
        <w:lastRenderedPageBreak/>
        <w:t>The responsible person in the contracting authority for this contract is Lazar Jovanov, member of the project staff.</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5FF82BF0" w:rsidR="00D81857" w:rsidRPr="0063749B" w:rsidRDefault="00F20566" w:rsidP="008D141B">
      <w:pPr>
        <w:rPr>
          <w:rFonts w:ascii="Times New Roman" w:hAnsi="Times New Roman"/>
          <w:sz w:val="22"/>
          <w:szCs w:val="22"/>
        </w:rPr>
      </w:pPr>
      <w:r>
        <w:rPr>
          <w:rFonts w:ascii="Times New Roman" w:hAnsi="Times New Roman"/>
          <w:sz w:val="22"/>
          <w:szCs w:val="22"/>
        </w:rPr>
        <w:t>The contracting authority will not provide facilities for the implementation of the tasks. The contractor will provide adequate facilities for the implementation of the tasks.</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09476AC2" w:rsidR="00D81857" w:rsidRPr="0063749B" w:rsidRDefault="00335756" w:rsidP="008D141B">
      <w:pPr>
        <w:rPr>
          <w:rFonts w:ascii="Times New Roman" w:hAnsi="Times New Roman"/>
          <w:sz w:val="22"/>
          <w:szCs w:val="22"/>
        </w:rPr>
      </w:pPr>
      <w:r>
        <w:rPr>
          <w:rFonts w:ascii="Times New Roman" w:hAnsi="Times New Roman"/>
          <w:sz w:val="22"/>
          <w:szCs w:val="22"/>
        </w:rPr>
        <w:t>Republic of Serbia, AP Vojvodina, Novi Sad</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62529B80" w14:textId="3A80424B" w:rsidR="005D5086" w:rsidRDefault="00D81857" w:rsidP="005D5086">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F02D1">
        <w:rPr>
          <w:rFonts w:ascii="Times New Roman" w:hAnsi="Times New Roman"/>
          <w:sz w:val="22"/>
          <w:szCs w:val="22"/>
        </w:rPr>
        <w:t>18.04.2025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5B4D51">
        <w:rPr>
          <w:rFonts w:ascii="Times New Roman" w:hAnsi="Times New Roman"/>
          <w:sz w:val="22"/>
          <w:szCs w:val="22"/>
        </w:rPr>
        <w:t>28</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65C4D1BD" w14:textId="43D65469" w:rsidR="008B2A2C" w:rsidRPr="008A65FE" w:rsidRDefault="00656520" w:rsidP="008A0C9A">
      <w:pPr>
        <w:rPr>
          <w:rFonts w:ascii="Times New Roman" w:hAnsi="Times New Roman"/>
          <w:sz w:val="22"/>
          <w:szCs w:val="22"/>
          <w:highlight w:val="lightGray"/>
        </w:rPr>
      </w:pPr>
      <w:r>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4B4DB844" w:rsidR="001D07DD" w:rsidRPr="000E4BCE" w:rsidRDefault="00B96483" w:rsidP="008D141B">
      <w:pPr>
        <w:rPr>
          <w:rFonts w:ascii="Times New Roman" w:hAnsi="Times New Roman"/>
          <w:sz w:val="22"/>
          <w:szCs w:val="22"/>
        </w:rPr>
      </w:pPr>
      <w:r w:rsidRPr="000E4BCE">
        <w:rPr>
          <w:rFonts w:ascii="Times New Roman" w:hAnsi="Times New Roman"/>
          <w:sz w:val="22"/>
          <w:szCs w:val="22"/>
        </w:rPr>
        <w:t>CVs for experts other than the key experts should not be submitted in the tender</w:t>
      </w:r>
      <w:r w:rsidR="00F07AAD" w:rsidRPr="000E4BCE">
        <w:rPr>
          <w:rFonts w:ascii="Times New Roman" w:hAnsi="Times New Roman"/>
          <w:sz w:val="22"/>
          <w:szCs w:val="22"/>
        </w:rPr>
        <w:t xml:space="preserve"> but the tenderer will have to demonstrate in the</w:t>
      </w:r>
      <w:r w:rsidR="006471D6" w:rsidRPr="000E4BCE">
        <w:rPr>
          <w:rFonts w:ascii="Times New Roman" w:hAnsi="Times New Roman"/>
          <w:sz w:val="22"/>
          <w:szCs w:val="22"/>
        </w:rPr>
        <w:t>ir</w:t>
      </w:r>
      <w:r w:rsidR="00F07AAD" w:rsidRPr="000E4BCE">
        <w:rPr>
          <w:rFonts w:ascii="Times New Roman" w:hAnsi="Times New Roman"/>
          <w:sz w:val="22"/>
          <w:szCs w:val="22"/>
        </w:rPr>
        <w:t xml:space="preserve"> offer that they have access to experts with the required profiles</w:t>
      </w:r>
      <w:r w:rsidRPr="000E4BCE">
        <w:rPr>
          <w:rFonts w:ascii="Times New Roman" w:hAnsi="Times New Roman"/>
          <w:sz w:val="22"/>
          <w:szCs w:val="22"/>
        </w:rPr>
        <w:t xml:space="preserve">. The </w:t>
      </w:r>
      <w:r w:rsidR="00E21553" w:rsidRPr="000E4BCE">
        <w:rPr>
          <w:rFonts w:ascii="Times New Roman" w:hAnsi="Times New Roman"/>
          <w:sz w:val="22"/>
          <w:szCs w:val="22"/>
        </w:rPr>
        <w:t>c</w:t>
      </w:r>
      <w:r w:rsidR="00320C07" w:rsidRPr="000E4BCE">
        <w:rPr>
          <w:rFonts w:ascii="Times New Roman" w:hAnsi="Times New Roman"/>
          <w:sz w:val="22"/>
          <w:szCs w:val="22"/>
        </w:rPr>
        <w:t>ontractor</w:t>
      </w:r>
      <w:r w:rsidRPr="000E4BCE">
        <w:rPr>
          <w:rFonts w:ascii="Times New Roman" w:hAnsi="Times New Roman"/>
          <w:sz w:val="22"/>
          <w:szCs w:val="22"/>
        </w:rPr>
        <w:t xml:space="preserve"> shall select and hire other experts as required according to the needs. The selection procedures used by the </w:t>
      </w:r>
      <w:r w:rsidR="00E21553" w:rsidRPr="000E4BCE">
        <w:rPr>
          <w:rFonts w:ascii="Times New Roman" w:hAnsi="Times New Roman"/>
          <w:sz w:val="22"/>
          <w:szCs w:val="22"/>
        </w:rPr>
        <w:t>c</w:t>
      </w:r>
      <w:r w:rsidR="00320C07" w:rsidRPr="000E4BCE">
        <w:rPr>
          <w:rFonts w:ascii="Times New Roman" w:hAnsi="Times New Roman"/>
          <w:sz w:val="22"/>
          <w:szCs w:val="22"/>
        </w:rPr>
        <w:t>ontractor</w:t>
      </w:r>
      <w:r w:rsidRPr="000E4BCE">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0E4BCE">
        <w:rPr>
          <w:rFonts w:ascii="Times New Roman" w:hAnsi="Times New Roman"/>
          <w:sz w:val="22"/>
          <w:szCs w:val="22"/>
        </w:rPr>
        <w:t xml:space="preserve"> and work experience.</w:t>
      </w:r>
    </w:p>
    <w:p w14:paraId="103815D6" w14:textId="29D09E07" w:rsidR="00851DA8" w:rsidRDefault="00F24DAB" w:rsidP="001D07DD">
      <w:pPr>
        <w:rPr>
          <w:rFonts w:ascii="Times New Roman" w:hAnsi="Times New Roman"/>
          <w:sz w:val="22"/>
          <w:szCs w:val="22"/>
        </w:rPr>
      </w:pPr>
      <w:r w:rsidRPr="000E4BCE">
        <w:rPr>
          <w:rFonts w:ascii="Times New Roman" w:hAnsi="Times New Roman"/>
          <w:sz w:val="22"/>
          <w:szCs w:val="22"/>
        </w:rPr>
        <w:t>The c</w:t>
      </w:r>
      <w:r w:rsidR="00453705" w:rsidRPr="000E4BCE">
        <w:rPr>
          <w:rFonts w:ascii="Times New Roman" w:hAnsi="Times New Roman"/>
          <w:sz w:val="22"/>
          <w:szCs w:val="22"/>
        </w:rPr>
        <w:t>ost</w:t>
      </w:r>
      <w:r w:rsidRPr="000E4BCE">
        <w:rPr>
          <w:rFonts w:ascii="Times New Roman" w:hAnsi="Times New Roman"/>
          <w:sz w:val="22"/>
          <w:szCs w:val="22"/>
        </w:rPr>
        <w:t>s</w:t>
      </w:r>
      <w:r w:rsidR="00453705" w:rsidRPr="000E4BCE">
        <w:rPr>
          <w:rFonts w:ascii="Times New Roman" w:hAnsi="Times New Roman"/>
          <w:sz w:val="22"/>
          <w:szCs w:val="22"/>
        </w:rPr>
        <w:t xml:space="preserve"> for backstopping and support staff, as needed, </w:t>
      </w:r>
      <w:proofErr w:type="gramStart"/>
      <w:r w:rsidR="00AE124B" w:rsidRPr="000E4BCE">
        <w:rPr>
          <w:rFonts w:ascii="Times New Roman" w:hAnsi="Times New Roman"/>
          <w:sz w:val="22"/>
          <w:szCs w:val="22"/>
        </w:rPr>
        <w:t xml:space="preserve">are </w:t>
      </w:r>
      <w:r w:rsidR="008D141B" w:rsidRPr="000E4BCE">
        <w:rPr>
          <w:rFonts w:ascii="Times New Roman" w:hAnsi="Times New Roman"/>
          <w:sz w:val="22"/>
          <w:szCs w:val="22"/>
        </w:rPr>
        <w:t>considered to</w:t>
      </w:r>
      <w:r w:rsidR="00453705" w:rsidRPr="000E4BCE">
        <w:rPr>
          <w:rFonts w:ascii="Times New Roman" w:hAnsi="Times New Roman"/>
          <w:sz w:val="22"/>
          <w:szCs w:val="22"/>
        </w:rPr>
        <w:t xml:space="preserve"> be</w:t>
      </w:r>
      <w:proofErr w:type="gramEnd"/>
      <w:r w:rsidR="00453705" w:rsidRPr="000E4BCE">
        <w:rPr>
          <w:rFonts w:ascii="Times New Roman" w:hAnsi="Times New Roman"/>
          <w:sz w:val="22"/>
          <w:szCs w:val="22"/>
        </w:rPr>
        <w:t xml:space="preserve"> included in the </w:t>
      </w:r>
      <w:r w:rsidR="005A41BF" w:rsidRPr="000E4BCE">
        <w:rPr>
          <w:rFonts w:ascii="Times New Roman" w:hAnsi="Times New Roman"/>
          <w:sz w:val="22"/>
          <w:szCs w:val="22"/>
        </w:rPr>
        <w:t xml:space="preserve">tenderer's </w:t>
      </w:r>
      <w:r w:rsidR="00453705" w:rsidRPr="000E4BCE">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3E3B5476" w:rsidR="00D81857" w:rsidRPr="0063749B" w:rsidRDefault="000D3268"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w:t>
      </w:r>
      <w:r w:rsidRPr="00C729E0">
        <w:rPr>
          <w:rFonts w:ascii="Times New Roman" w:hAnsi="Times New Roman"/>
          <w:sz w:val="22"/>
          <w:szCs w:val="22"/>
        </w:rPr>
        <w:t>by the contractor.</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3FF9AE51"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w:t>
      </w:r>
      <w:r w:rsidRPr="0063749B">
        <w:rPr>
          <w:rFonts w:ascii="Times New Roman" w:hAnsi="Times New Roman"/>
          <w:sz w:val="22"/>
          <w:szCs w:val="22"/>
        </w:rPr>
        <w:lastRenderedPageBreak/>
        <w:t>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02874DF8"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2E020F">
        <w:rPr>
          <w:rFonts w:ascii="Times New Roman" w:hAnsi="Times New Roman"/>
          <w:sz w:val="22"/>
          <w:szCs w:val="22"/>
        </w:rPr>
        <w:t xml:space="preserve">English </w:t>
      </w:r>
      <w:r w:rsidR="00155998" w:rsidRPr="0063749B">
        <w:rPr>
          <w:rFonts w:ascii="Times New Roman" w:hAnsi="Times New Roman"/>
          <w:sz w:val="22"/>
          <w:szCs w:val="22"/>
        </w:rPr>
        <w:t xml:space="preserve">in one original and </w:t>
      </w:r>
      <w:r w:rsidR="002E020F">
        <w:rPr>
          <w:rFonts w:ascii="Times New Roman" w:hAnsi="Times New Roman"/>
          <w:sz w:val="22"/>
          <w:szCs w:val="22"/>
        </w:rPr>
        <w:t>1</w:t>
      </w:r>
      <w:r w:rsidR="00155998" w:rsidRPr="0063749B">
        <w:rPr>
          <w:rFonts w:ascii="Times New Roman" w:hAnsi="Times New Roman"/>
          <w:sz w:val="22"/>
          <w:szCs w:val="22"/>
        </w:rPr>
        <w:t xml:space="preserve"> </w:t>
      </w:r>
      <w:proofErr w:type="gramStart"/>
      <w:r w:rsidR="00155998" w:rsidRPr="0063749B">
        <w:rPr>
          <w:rFonts w:ascii="Times New Roman" w:hAnsi="Times New Roman"/>
          <w:sz w:val="22"/>
          <w:szCs w:val="22"/>
        </w:rPr>
        <w:t>copies</w:t>
      </w:r>
      <w:proofErr w:type="gramEnd"/>
      <w:r w:rsidRPr="0063749B">
        <w:rPr>
          <w:rFonts w:ascii="Times New Roman" w:hAnsi="Times New Roman"/>
          <w:sz w:val="22"/>
          <w:szCs w:val="22"/>
        </w:rPr>
        <w:t>:</w:t>
      </w:r>
    </w:p>
    <w:p w14:paraId="7F0D33D4" w14:textId="715C001B" w:rsidR="00780D1B" w:rsidRDefault="00BA571E" w:rsidP="008D141B">
      <w:pPr>
        <w:pStyle w:val="ListBullet"/>
        <w:numPr>
          <w:ilvl w:val="0"/>
          <w:numId w:val="4"/>
        </w:numPr>
        <w:rPr>
          <w:sz w:val="22"/>
          <w:szCs w:val="22"/>
        </w:rPr>
      </w:pPr>
      <w:r>
        <w:rPr>
          <w:b/>
          <w:bCs/>
          <w:sz w:val="22"/>
          <w:szCs w:val="22"/>
        </w:rPr>
        <w:t xml:space="preserve">Interim report: </w:t>
      </w:r>
      <w:r>
        <w:rPr>
          <w:sz w:val="22"/>
          <w:szCs w:val="22"/>
        </w:rPr>
        <w:t>the interim report will be submitted</w:t>
      </w:r>
      <w:r w:rsidR="00274370">
        <w:rPr>
          <w:sz w:val="22"/>
          <w:szCs w:val="22"/>
        </w:rPr>
        <w:t xml:space="preserve"> after </w:t>
      </w:r>
      <w:r w:rsidR="008048FF">
        <w:rPr>
          <w:sz w:val="22"/>
          <w:szCs w:val="22"/>
        </w:rPr>
        <w:t xml:space="preserve">6 months </w:t>
      </w:r>
      <w:r w:rsidR="00DB58E7">
        <w:rPr>
          <w:sz w:val="22"/>
          <w:szCs w:val="22"/>
        </w:rPr>
        <w:t>from the start of implementation</w:t>
      </w:r>
      <w:r>
        <w:rPr>
          <w:sz w:val="22"/>
          <w:szCs w:val="22"/>
        </w:rPr>
        <w:t xml:space="preserve"> with a corresponding invoice. </w:t>
      </w:r>
      <w:r w:rsidRPr="00F66B85">
        <w:rPr>
          <w:sz w:val="22"/>
          <w:szCs w:val="22"/>
        </w:rPr>
        <w:t>The approval of interim reports will be the basis for issuing respective interim payments as indicated in the Special Conditions</w:t>
      </w:r>
      <w:r>
        <w:rPr>
          <w:bCs/>
          <w:sz w:val="22"/>
          <w:szCs w:val="22"/>
        </w:rPr>
        <w:t>.</w:t>
      </w:r>
      <w:r w:rsidR="00780D1B" w:rsidRPr="0063749B">
        <w:rPr>
          <w:sz w:val="22"/>
          <w:szCs w:val="22"/>
        </w:rPr>
        <w:t xml:space="preserve"> </w:t>
      </w:r>
    </w:p>
    <w:p w14:paraId="73E0AF56" w14:textId="4F140B9E" w:rsidR="00697562" w:rsidRPr="0063749B" w:rsidRDefault="001B2F46" w:rsidP="001B2F46">
      <w:pPr>
        <w:pStyle w:val="ListBullet"/>
        <w:numPr>
          <w:ilvl w:val="0"/>
          <w:numId w:val="4"/>
        </w:numPr>
        <w:rPr>
          <w:b/>
          <w:bCs/>
          <w:sz w:val="22"/>
          <w:szCs w:val="22"/>
        </w:rPr>
      </w:pPr>
      <w:r w:rsidRPr="0063749B">
        <w:rPr>
          <w:b/>
          <w:bCs/>
          <w:sz w:val="22"/>
          <w:szCs w:val="22"/>
        </w:rPr>
        <w:t>Final report</w:t>
      </w:r>
      <w:r>
        <w:rPr>
          <w:b/>
          <w:bCs/>
          <w:sz w:val="22"/>
          <w:szCs w:val="22"/>
        </w:rPr>
        <w:t xml:space="preserve">: </w:t>
      </w:r>
      <w:r>
        <w:rPr>
          <w:sz w:val="22"/>
          <w:szCs w:val="22"/>
        </w:rPr>
        <w:t xml:space="preserve">will be submitted will be submitted at the end of this contract. </w:t>
      </w:r>
      <w:r w:rsidRPr="00A753C5">
        <w:rPr>
          <w:sz w:val="22"/>
          <w:szCs w:val="22"/>
        </w:rPr>
        <w:t>The approval of the final report by the Contracting Authority will be the basis for issuing final payment as indicated in the Special Conditions. The final report must be provided along with the corresponding invoice</w:t>
      </w:r>
      <w:r w:rsidR="00155998" w:rsidRPr="0063749B">
        <w:rPr>
          <w:sz w:val="22"/>
          <w:szCs w:val="22"/>
        </w:rPr>
        <w:t xml:space="preserve"> </w:t>
      </w:r>
    </w:p>
    <w:p w14:paraId="0DB35DB9" w14:textId="13F232A0" w:rsidR="00780D1B" w:rsidRPr="0063749B" w:rsidRDefault="00590D36" w:rsidP="008D141B">
      <w:pPr>
        <w:pStyle w:val="ListBullet"/>
        <w:numPr>
          <w:ilvl w:val="0"/>
          <w:numId w:val="0"/>
        </w:numPr>
        <w:rPr>
          <w:sz w:val="22"/>
          <w:szCs w:val="22"/>
        </w:rPr>
      </w:pPr>
      <w:r>
        <w:rPr>
          <w:sz w:val="22"/>
          <w:szCs w:val="22"/>
        </w:rPr>
        <w:t xml:space="preserve">If the payments are made in </w:t>
      </w:r>
      <w:proofErr w:type="gramStart"/>
      <w:r>
        <w:rPr>
          <w:sz w:val="22"/>
          <w:szCs w:val="22"/>
        </w:rPr>
        <w:t>RSD</w:t>
      </w:r>
      <w:proofErr w:type="gramEnd"/>
      <w:r>
        <w:rPr>
          <w:sz w:val="22"/>
          <w:szCs w:val="22"/>
        </w:rPr>
        <w:t xml:space="preserve"> the </w:t>
      </w:r>
      <w:proofErr w:type="spellStart"/>
      <w:r w:rsidR="009C6A45">
        <w:rPr>
          <w:sz w:val="22"/>
          <w:szCs w:val="22"/>
        </w:rPr>
        <w:t>InforEuro</w:t>
      </w:r>
      <w:proofErr w:type="spellEnd"/>
      <w:r w:rsidR="009C6A45">
        <w:rPr>
          <w:sz w:val="22"/>
          <w:szCs w:val="22"/>
        </w:rPr>
        <w:t xml:space="preserve"> exchange rate will be used </w:t>
      </w:r>
      <w:r w:rsidR="00054700">
        <w:rPr>
          <w:sz w:val="22"/>
          <w:szCs w:val="22"/>
        </w:rPr>
        <w:t xml:space="preserve">for the month </w:t>
      </w:r>
      <w:r w:rsidR="00054700" w:rsidRPr="00DB58E7">
        <w:rPr>
          <w:sz w:val="22"/>
          <w:szCs w:val="22"/>
        </w:rPr>
        <w:t xml:space="preserve">of </w:t>
      </w:r>
      <w:r w:rsidR="00F747B7" w:rsidRPr="00DB58E7">
        <w:rPr>
          <w:sz w:val="22"/>
          <w:szCs w:val="22"/>
        </w:rPr>
        <w:t>March 2025.</w:t>
      </w:r>
      <w:r w:rsidR="00F747B7">
        <w:rPr>
          <w:sz w:val="22"/>
          <w:szCs w:val="22"/>
        </w:rPr>
        <w:t xml:space="preserve"> </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7514A2CD" w14:textId="484E01BD"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4D7DD175" w14:textId="388E979D" w:rsidR="000B29A9" w:rsidRPr="0063749B" w:rsidRDefault="00144B4E" w:rsidP="000B29A9">
      <w:pPr>
        <w:rPr>
          <w:rFonts w:ascii="Times New Roman" w:hAnsi="Times New Roman"/>
          <w:sz w:val="22"/>
          <w:szCs w:val="22"/>
        </w:rPr>
      </w:pPr>
      <w:bookmarkStart w:id="35" w:name="_Toc67320765"/>
      <w:r w:rsidRPr="00F051AC">
        <w:rPr>
          <w:rFonts w:ascii="Times New Roman" w:hAnsi="Times New Roman"/>
          <w:sz w:val="22"/>
          <w:szCs w:val="22"/>
        </w:rPr>
        <w:t>Services provided in timely, quality and quantity man</w:t>
      </w:r>
      <w:r>
        <w:rPr>
          <w:rFonts w:ascii="Times New Roman" w:hAnsi="Times New Roman"/>
          <w:sz w:val="22"/>
          <w:szCs w:val="22"/>
        </w:rPr>
        <w:t>ne</w:t>
      </w:r>
      <w:r w:rsidRPr="00F051AC">
        <w:rPr>
          <w:rFonts w:ascii="Times New Roman" w:hAnsi="Times New Roman"/>
          <w:sz w:val="22"/>
          <w:szCs w:val="22"/>
        </w:rPr>
        <w:t>r, as required in these Terms of Reference</w:t>
      </w:r>
    </w:p>
    <w:p w14:paraId="6BA2BE37" w14:textId="77777777" w:rsidR="00D81857" w:rsidRPr="0063749B" w:rsidRDefault="00D81857" w:rsidP="009D2CAF">
      <w:pPr>
        <w:pStyle w:val="Heading2"/>
      </w:pPr>
      <w:r w:rsidRPr="0063749B">
        <w:t>Special requirements</w:t>
      </w:r>
      <w:bookmarkEnd w:id="35"/>
    </w:p>
    <w:p w14:paraId="5D6845E8" w14:textId="1B20EBD6" w:rsidR="00D24461" w:rsidRPr="0063749B" w:rsidRDefault="00723080"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8F995" w14:textId="77777777" w:rsidR="00EC6924" w:rsidRDefault="00EC6924">
      <w:r>
        <w:separator/>
      </w:r>
    </w:p>
  </w:endnote>
  <w:endnote w:type="continuationSeparator" w:id="0">
    <w:p w14:paraId="22146F1E" w14:textId="77777777" w:rsidR="00EC6924" w:rsidRDefault="00EC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6A503" w14:textId="77777777" w:rsidR="00EC6924" w:rsidRDefault="00EC6924">
      <w:r>
        <w:separator/>
      </w:r>
    </w:p>
  </w:footnote>
  <w:footnote w:type="continuationSeparator" w:id="0">
    <w:p w14:paraId="272E959E" w14:textId="77777777" w:rsidR="00EC6924" w:rsidRDefault="00EC6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B4531EB"/>
    <w:multiLevelType w:val="multilevel"/>
    <w:tmpl w:val="888E1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12915702">
    <w:abstractNumId w:val="1"/>
  </w:num>
  <w:num w:numId="2" w16cid:durableId="346106225">
    <w:abstractNumId w:val="0"/>
  </w:num>
  <w:num w:numId="3" w16cid:durableId="2058238247">
    <w:abstractNumId w:val="16"/>
  </w:num>
  <w:num w:numId="4" w16cid:durableId="1043166409">
    <w:abstractNumId w:val="9"/>
    <w:lvlOverride w:ilvl="0">
      <w:startOverride w:val="1"/>
    </w:lvlOverride>
  </w:num>
  <w:num w:numId="5" w16cid:durableId="2109427253">
    <w:abstractNumId w:val="9"/>
    <w:lvlOverride w:ilvl="0">
      <w:startOverride w:val="1"/>
    </w:lvlOverride>
  </w:num>
  <w:num w:numId="6" w16cid:durableId="588853017">
    <w:abstractNumId w:val="9"/>
    <w:lvlOverride w:ilvl="0">
      <w:startOverride w:val="1"/>
    </w:lvlOverride>
  </w:num>
  <w:num w:numId="7" w16cid:durableId="2139444452">
    <w:abstractNumId w:val="9"/>
    <w:lvlOverride w:ilvl="0">
      <w:startOverride w:val="1"/>
    </w:lvlOverride>
  </w:num>
  <w:num w:numId="8" w16cid:durableId="493374257">
    <w:abstractNumId w:val="9"/>
    <w:lvlOverride w:ilvl="0">
      <w:startOverride w:val="1"/>
    </w:lvlOverride>
  </w:num>
  <w:num w:numId="9" w16cid:durableId="898058300">
    <w:abstractNumId w:val="9"/>
    <w:lvlOverride w:ilvl="0">
      <w:startOverride w:val="1"/>
    </w:lvlOverride>
  </w:num>
  <w:num w:numId="10" w16cid:durableId="1837113029">
    <w:abstractNumId w:val="9"/>
  </w:num>
  <w:num w:numId="11" w16cid:durableId="1585528112">
    <w:abstractNumId w:val="4"/>
  </w:num>
  <w:num w:numId="12" w16cid:durableId="917907523">
    <w:abstractNumId w:val="8"/>
  </w:num>
  <w:num w:numId="13" w16cid:durableId="1619989814">
    <w:abstractNumId w:val="15"/>
  </w:num>
  <w:num w:numId="14" w16cid:durableId="2129543948">
    <w:abstractNumId w:val="17"/>
  </w:num>
  <w:num w:numId="15" w16cid:durableId="1678341651">
    <w:abstractNumId w:val="6"/>
  </w:num>
  <w:num w:numId="16" w16cid:durableId="1592738548">
    <w:abstractNumId w:val="14"/>
  </w:num>
  <w:num w:numId="17" w16cid:durableId="1188252859">
    <w:abstractNumId w:val="13"/>
  </w:num>
  <w:num w:numId="18" w16cid:durableId="2087681437">
    <w:abstractNumId w:val="10"/>
  </w:num>
  <w:num w:numId="19" w16cid:durableId="1398431115">
    <w:abstractNumId w:val="11"/>
  </w:num>
  <w:num w:numId="20" w16cid:durableId="255599342">
    <w:abstractNumId w:val="3"/>
  </w:num>
  <w:num w:numId="21" w16cid:durableId="2143494583">
    <w:abstractNumId w:val="7"/>
  </w:num>
  <w:num w:numId="22" w16cid:durableId="674922408">
    <w:abstractNumId w:val="2"/>
  </w:num>
  <w:num w:numId="23" w16cid:durableId="661547099">
    <w:abstractNumId w:val="5"/>
  </w:num>
  <w:num w:numId="24" w16cid:durableId="1203983572">
    <w:abstractNumId w:val="18"/>
  </w:num>
  <w:num w:numId="25" w16cid:durableId="125455807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218CF"/>
    <w:rsid w:val="000229E3"/>
    <w:rsid w:val="0003069D"/>
    <w:rsid w:val="00032183"/>
    <w:rsid w:val="000332B4"/>
    <w:rsid w:val="00034E3E"/>
    <w:rsid w:val="000363AC"/>
    <w:rsid w:val="0004483E"/>
    <w:rsid w:val="00046EDE"/>
    <w:rsid w:val="0005180E"/>
    <w:rsid w:val="00054700"/>
    <w:rsid w:val="000567AA"/>
    <w:rsid w:val="0006795C"/>
    <w:rsid w:val="00070323"/>
    <w:rsid w:val="000717C4"/>
    <w:rsid w:val="00072591"/>
    <w:rsid w:val="000778B1"/>
    <w:rsid w:val="00081DBB"/>
    <w:rsid w:val="00086D9B"/>
    <w:rsid w:val="0009008B"/>
    <w:rsid w:val="000914D7"/>
    <w:rsid w:val="00093D70"/>
    <w:rsid w:val="000A1135"/>
    <w:rsid w:val="000A6396"/>
    <w:rsid w:val="000B29A9"/>
    <w:rsid w:val="000B6100"/>
    <w:rsid w:val="000C5995"/>
    <w:rsid w:val="000C6289"/>
    <w:rsid w:val="000D3268"/>
    <w:rsid w:val="000D573C"/>
    <w:rsid w:val="000E4BCE"/>
    <w:rsid w:val="000F10BF"/>
    <w:rsid w:val="000F16A9"/>
    <w:rsid w:val="00100201"/>
    <w:rsid w:val="0010219F"/>
    <w:rsid w:val="0011312C"/>
    <w:rsid w:val="00115301"/>
    <w:rsid w:val="00123F78"/>
    <w:rsid w:val="00126E5D"/>
    <w:rsid w:val="00126E6A"/>
    <w:rsid w:val="0013060C"/>
    <w:rsid w:val="00132C55"/>
    <w:rsid w:val="00134B0C"/>
    <w:rsid w:val="00144AAA"/>
    <w:rsid w:val="00144B4E"/>
    <w:rsid w:val="001467EC"/>
    <w:rsid w:val="00153197"/>
    <w:rsid w:val="00155998"/>
    <w:rsid w:val="0016149B"/>
    <w:rsid w:val="00161CF7"/>
    <w:rsid w:val="00165569"/>
    <w:rsid w:val="00174CDF"/>
    <w:rsid w:val="00185585"/>
    <w:rsid w:val="00185CE8"/>
    <w:rsid w:val="001869F0"/>
    <w:rsid w:val="00187388"/>
    <w:rsid w:val="001925DA"/>
    <w:rsid w:val="00192884"/>
    <w:rsid w:val="00193902"/>
    <w:rsid w:val="0019480C"/>
    <w:rsid w:val="001A114E"/>
    <w:rsid w:val="001A1A8A"/>
    <w:rsid w:val="001A1E97"/>
    <w:rsid w:val="001A6418"/>
    <w:rsid w:val="001B2F46"/>
    <w:rsid w:val="001B3701"/>
    <w:rsid w:val="001C114B"/>
    <w:rsid w:val="001C4DD2"/>
    <w:rsid w:val="001C6553"/>
    <w:rsid w:val="001C7648"/>
    <w:rsid w:val="001D07DD"/>
    <w:rsid w:val="001D0B84"/>
    <w:rsid w:val="001E4CB6"/>
    <w:rsid w:val="001E5659"/>
    <w:rsid w:val="001F21C2"/>
    <w:rsid w:val="00210C5D"/>
    <w:rsid w:val="00212FA5"/>
    <w:rsid w:val="0021576E"/>
    <w:rsid w:val="00220CC1"/>
    <w:rsid w:val="00224F25"/>
    <w:rsid w:val="00230DF4"/>
    <w:rsid w:val="002351C4"/>
    <w:rsid w:val="00240BCC"/>
    <w:rsid w:val="00243FB5"/>
    <w:rsid w:val="002564EE"/>
    <w:rsid w:val="00257D65"/>
    <w:rsid w:val="00267A1C"/>
    <w:rsid w:val="00274370"/>
    <w:rsid w:val="0028046F"/>
    <w:rsid w:val="00282DCE"/>
    <w:rsid w:val="002C0329"/>
    <w:rsid w:val="002D1C2B"/>
    <w:rsid w:val="002D5D21"/>
    <w:rsid w:val="002D648A"/>
    <w:rsid w:val="002D7174"/>
    <w:rsid w:val="002E020F"/>
    <w:rsid w:val="002E41CA"/>
    <w:rsid w:val="002E468E"/>
    <w:rsid w:val="002F1AF6"/>
    <w:rsid w:val="00301519"/>
    <w:rsid w:val="00310A00"/>
    <w:rsid w:val="00312C82"/>
    <w:rsid w:val="0031613E"/>
    <w:rsid w:val="00320C07"/>
    <w:rsid w:val="00323913"/>
    <w:rsid w:val="0033035A"/>
    <w:rsid w:val="00335756"/>
    <w:rsid w:val="00336007"/>
    <w:rsid w:val="003421DB"/>
    <w:rsid w:val="003428FC"/>
    <w:rsid w:val="00350D87"/>
    <w:rsid w:val="00356091"/>
    <w:rsid w:val="00363709"/>
    <w:rsid w:val="00364DE6"/>
    <w:rsid w:val="00396F47"/>
    <w:rsid w:val="003A1C3F"/>
    <w:rsid w:val="003A2551"/>
    <w:rsid w:val="003B7EB4"/>
    <w:rsid w:val="003C24E8"/>
    <w:rsid w:val="003C52A5"/>
    <w:rsid w:val="003D1B73"/>
    <w:rsid w:val="003E2196"/>
    <w:rsid w:val="003E26F7"/>
    <w:rsid w:val="003F2355"/>
    <w:rsid w:val="00404345"/>
    <w:rsid w:val="0040714A"/>
    <w:rsid w:val="00410306"/>
    <w:rsid w:val="00412B68"/>
    <w:rsid w:val="0041552F"/>
    <w:rsid w:val="0042178E"/>
    <w:rsid w:val="00423811"/>
    <w:rsid w:val="00423F47"/>
    <w:rsid w:val="004250F9"/>
    <w:rsid w:val="00431AEC"/>
    <w:rsid w:val="00444297"/>
    <w:rsid w:val="004450A7"/>
    <w:rsid w:val="00445188"/>
    <w:rsid w:val="00450070"/>
    <w:rsid w:val="00453705"/>
    <w:rsid w:val="00460E3E"/>
    <w:rsid w:val="0046347C"/>
    <w:rsid w:val="00470B0E"/>
    <w:rsid w:val="00484F3A"/>
    <w:rsid w:val="00490ACE"/>
    <w:rsid w:val="0049404A"/>
    <w:rsid w:val="004978F8"/>
    <w:rsid w:val="004A11D3"/>
    <w:rsid w:val="004A2422"/>
    <w:rsid w:val="004A6B97"/>
    <w:rsid w:val="004B2A38"/>
    <w:rsid w:val="004B6ACF"/>
    <w:rsid w:val="004C5C6B"/>
    <w:rsid w:val="004D097F"/>
    <w:rsid w:val="004E2289"/>
    <w:rsid w:val="004E5639"/>
    <w:rsid w:val="004E767F"/>
    <w:rsid w:val="004F338B"/>
    <w:rsid w:val="004F3E5F"/>
    <w:rsid w:val="004F5130"/>
    <w:rsid w:val="0050144E"/>
    <w:rsid w:val="005044FE"/>
    <w:rsid w:val="00510D93"/>
    <w:rsid w:val="0052017E"/>
    <w:rsid w:val="005260E6"/>
    <w:rsid w:val="00530D15"/>
    <w:rsid w:val="00536D6E"/>
    <w:rsid w:val="0054743E"/>
    <w:rsid w:val="0055050F"/>
    <w:rsid w:val="0055311E"/>
    <w:rsid w:val="00556CFB"/>
    <w:rsid w:val="00561843"/>
    <w:rsid w:val="00564168"/>
    <w:rsid w:val="005652A1"/>
    <w:rsid w:val="00570CF3"/>
    <w:rsid w:val="005837BC"/>
    <w:rsid w:val="005848BB"/>
    <w:rsid w:val="00590D36"/>
    <w:rsid w:val="005935F3"/>
    <w:rsid w:val="00596882"/>
    <w:rsid w:val="00597EEA"/>
    <w:rsid w:val="005A36D9"/>
    <w:rsid w:val="005A41BF"/>
    <w:rsid w:val="005B4D51"/>
    <w:rsid w:val="005B55B9"/>
    <w:rsid w:val="005C250B"/>
    <w:rsid w:val="005C6CC2"/>
    <w:rsid w:val="005D5086"/>
    <w:rsid w:val="005D5805"/>
    <w:rsid w:val="005E3F3D"/>
    <w:rsid w:val="005E5BE5"/>
    <w:rsid w:val="005F05F8"/>
    <w:rsid w:val="005F537F"/>
    <w:rsid w:val="00601667"/>
    <w:rsid w:val="0061269A"/>
    <w:rsid w:val="006210A8"/>
    <w:rsid w:val="00624787"/>
    <w:rsid w:val="00626398"/>
    <w:rsid w:val="00626923"/>
    <w:rsid w:val="00631124"/>
    <w:rsid w:val="0063534A"/>
    <w:rsid w:val="0063749B"/>
    <w:rsid w:val="006419CD"/>
    <w:rsid w:val="00645479"/>
    <w:rsid w:val="006460D9"/>
    <w:rsid w:val="0064692E"/>
    <w:rsid w:val="006470EB"/>
    <w:rsid w:val="006471D6"/>
    <w:rsid w:val="00650DD4"/>
    <w:rsid w:val="006529B5"/>
    <w:rsid w:val="006552D0"/>
    <w:rsid w:val="00656520"/>
    <w:rsid w:val="00663107"/>
    <w:rsid w:val="00665651"/>
    <w:rsid w:val="006659A3"/>
    <w:rsid w:val="00671268"/>
    <w:rsid w:val="006723F3"/>
    <w:rsid w:val="006745A0"/>
    <w:rsid w:val="00676ADB"/>
    <w:rsid w:val="00686427"/>
    <w:rsid w:val="00696CAF"/>
    <w:rsid w:val="00697296"/>
    <w:rsid w:val="00697562"/>
    <w:rsid w:val="006A138B"/>
    <w:rsid w:val="006A142C"/>
    <w:rsid w:val="006A58EC"/>
    <w:rsid w:val="006A5BB0"/>
    <w:rsid w:val="006A5FC9"/>
    <w:rsid w:val="006B0823"/>
    <w:rsid w:val="006B1E5B"/>
    <w:rsid w:val="006B423E"/>
    <w:rsid w:val="006B5706"/>
    <w:rsid w:val="006C0746"/>
    <w:rsid w:val="006D6D6B"/>
    <w:rsid w:val="006F02D1"/>
    <w:rsid w:val="006F38F6"/>
    <w:rsid w:val="006F4B90"/>
    <w:rsid w:val="006F607A"/>
    <w:rsid w:val="007019D8"/>
    <w:rsid w:val="0070275A"/>
    <w:rsid w:val="00723080"/>
    <w:rsid w:val="00727260"/>
    <w:rsid w:val="007327E9"/>
    <w:rsid w:val="007356A3"/>
    <w:rsid w:val="00742068"/>
    <w:rsid w:val="00751B59"/>
    <w:rsid w:val="00771D39"/>
    <w:rsid w:val="00780D1B"/>
    <w:rsid w:val="00781734"/>
    <w:rsid w:val="0078273C"/>
    <w:rsid w:val="00783891"/>
    <w:rsid w:val="00791B46"/>
    <w:rsid w:val="0079433E"/>
    <w:rsid w:val="007A2250"/>
    <w:rsid w:val="007A6A64"/>
    <w:rsid w:val="007A6EDD"/>
    <w:rsid w:val="007C05EF"/>
    <w:rsid w:val="007C3B8C"/>
    <w:rsid w:val="007E157C"/>
    <w:rsid w:val="007E21BD"/>
    <w:rsid w:val="007F0504"/>
    <w:rsid w:val="007F2AD6"/>
    <w:rsid w:val="007F5547"/>
    <w:rsid w:val="007F738F"/>
    <w:rsid w:val="00802406"/>
    <w:rsid w:val="008048FF"/>
    <w:rsid w:val="00816B6E"/>
    <w:rsid w:val="00847726"/>
    <w:rsid w:val="00851DA8"/>
    <w:rsid w:val="008538A6"/>
    <w:rsid w:val="008553BA"/>
    <w:rsid w:val="00856D51"/>
    <w:rsid w:val="0085723F"/>
    <w:rsid w:val="008577AB"/>
    <w:rsid w:val="008578E0"/>
    <w:rsid w:val="00857B84"/>
    <w:rsid w:val="00861BB8"/>
    <w:rsid w:val="00862E3E"/>
    <w:rsid w:val="008679C7"/>
    <w:rsid w:val="00875B1B"/>
    <w:rsid w:val="00882011"/>
    <w:rsid w:val="0088268D"/>
    <w:rsid w:val="008874F5"/>
    <w:rsid w:val="008951C0"/>
    <w:rsid w:val="008A0C9A"/>
    <w:rsid w:val="008A0D16"/>
    <w:rsid w:val="008A65FE"/>
    <w:rsid w:val="008B2A2C"/>
    <w:rsid w:val="008B56F9"/>
    <w:rsid w:val="008C77AE"/>
    <w:rsid w:val="008D141B"/>
    <w:rsid w:val="008E412E"/>
    <w:rsid w:val="008E4DA9"/>
    <w:rsid w:val="008F30D2"/>
    <w:rsid w:val="008F6138"/>
    <w:rsid w:val="009144FC"/>
    <w:rsid w:val="00915153"/>
    <w:rsid w:val="00915532"/>
    <w:rsid w:val="0092082B"/>
    <w:rsid w:val="0092494C"/>
    <w:rsid w:val="00924F0C"/>
    <w:rsid w:val="00927CEC"/>
    <w:rsid w:val="00931940"/>
    <w:rsid w:val="009344C1"/>
    <w:rsid w:val="00935F4D"/>
    <w:rsid w:val="00942AD6"/>
    <w:rsid w:val="009454EE"/>
    <w:rsid w:val="009463C5"/>
    <w:rsid w:val="00970D74"/>
    <w:rsid w:val="00983970"/>
    <w:rsid w:val="009851A9"/>
    <w:rsid w:val="00987D01"/>
    <w:rsid w:val="00994CA3"/>
    <w:rsid w:val="00994CD7"/>
    <w:rsid w:val="00995D0E"/>
    <w:rsid w:val="00996BDD"/>
    <w:rsid w:val="009A09D3"/>
    <w:rsid w:val="009A2B96"/>
    <w:rsid w:val="009A3473"/>
    <w:rsid w:val="009A45FA"/>
    <w:rsid w:val="009A477C"/>
    <w:rsid w:val="009A6FD0"/>
    <w:rsid w:val="009B5EC3"/>
    <w:rsid w:val="009B60F8"/>
    <w:rsid w:val="009B6C23"/>
    <w:rsid w:val="009B6E56"/>
    <w:rsid w:val="009C0511"/>
    <w:rsid w:val="009C11D6"/>
    <w:rsid w:val="009C1AD7"/>
    <w:rsid w:val="009C355C"/>
    <w:rsid w:val="009C6A45"/>
    <w:rsid w:val="009D26A4"/>
    <w:rsid w:val="009D2CAF"/>
    <w:rsid w:val="009E37FA"/>
    <w:rsid w:val="009E731F"/>
    <w:rsid w:val="009F23A4"/>
    <w:rsid w:val="009F2A7A"/>
    <w:rsid w:val="009F2FF0"/>
    <w:rsid w:val="009F3097"/>
    <w:rsid w:val="00A04CFC"/>
    <w:rsid w:val="00A07A95"/>
    <w:rsid w:val="00A107D9"/>
    <w:rsid w:val="00A118D3"/>
    <w:rsid w:val="00A168AD"/>
    <w:rsid w:val="00A169E5"/>
    <w:rsid w:val="00A30F10"/>
    <w:rsid w:val="00A334B3"/>
    <w:rsid w:val="00A35674"/>
    <w:rsid w:val="00A4001B"/>
    <w:rsid w:val="00A60E57"/>
    <w:rsid w:val="00A62D55"/>
    <w:rsid w:val="00A67C5E"/>
    <w:rsid w:val="00A730CF"/>
    <w:rsid w:val="00A74230"/>
    <w:rsid w:val="00A76CC7"/>
    <w:rsid w:val="00A86528"/>
    <w:rsid w:val="00A90731"/>
    <w:rsid w:val="00A91D5F"/>
    <w:rsid w:val="00A96CA5"/>
    <w:rsid w:val="00A978F2"/>
    <w:rsid w:val="00AA1AB2"/>
    <w:rsid w:val="00AA4AA5"/>
    <w:rsid w:val="00AB722F"/>
    <w:rsid w:val="00AD50D5"/>
    <w:rsid w:val="00AE124B"/>
    <w:rsid w:val="00AE72EC"/>
    <w:rsid w:val="00AE7416"/>
    <w:rsid w:val="00AF0F13"/>
    <w:rsid w:val="00B00B32"/>
    <w:rsid w:val="00B14237"/>
    <w:rsid w:val="00B14A99"/>
    <w:rsid w:val="00B150E4"/>
    <w:rsid w:val="00B221C9"/>
    <w:rsid w:val="00B3286E"/>
    <w:rsid w:val="00B3682C"/>
    <w:rsid w:val="00B3682E"/>
    <w:rsid w:val="00B403DB"/>
    <w:rsid w:val="00B50635"/>
    <w:rsid w:val="00B65356"/>
    <w:rsid w:val="00B65A65"/>
    <w:rsid w:val="00B66F93"/>
    <w:rsid w:val="00B71BE0"/>
    <w:rsid w:val="00B733DB"/>
    <w:rsid w:val="00B753C6"/>
    <w:rsid w:val="00B8743C"/>
    <w:rsid w:val="00B87B0D"/>
    <w:rsid w:val="00B902C8"/>
    <w:rsid w:val="00B95C15"/>
    <w:rsid w:val="00B96483"/>
    <w:rsid w:val="00BA3339"/>
    <w:rsid w:val="00BA3DA0"/>
    <w:rsid w:val="00BA571E"/>
    <w:rsid w:val="00BA7303"/>
    <w:rsid w:val="00BA7A6C"/>
    <w:rsid w:val="00BC00A2"/>
    <w:rsid w:val="00BC69C4"/>
    <w:rsid w:val="00BD0DB2"/>
    <w:rsid w:val="00BD14E1"/>
    <w:rsid w:val="00BD5B78"/>
    <w:rsid w:val="00BE7A06"/>
    <w:rsid w:val="00BF2461"/>
    <w:rsid w:val="00BF2462"/>
    <w:rsid w:val="00BF64F5"/>
    <w:rsid w:val="00BF7CA6"/>
    <w:rsid w:val="00C056FE"/>
    <w:rsid w:val="00C11B64"/>
    <w:rsid w:val="00C1253B"/>
    <w:rsid w:val="00C20250"/>
    <w:rsid w:val="00C220FB"/>
    <w:rsid w:val="00C2452B"/>
    <w:rsid w:val="00C35D96"/>
    <w:rsid w:val="00C53082"/>
    <w:rsid w:val="00C554C3"/>
    <w:rsid w:val="00C57D81"/>
    <w:rsid w:val="00C64495"/>
    <w:rsid w:val="00C741BD"/>
    <w:rsid w:val="00C7526D"/>
    <w:rsid w:val="00C77E2E"/>
    <w:rsid w:val="00C80F3F"/>
    <w:rsid w:val="00C8230E"/>
    <w:rsid w:val="00C824D5"/>
    <w:rsid w:val="00C8675C"/>
    <w:rsid w:val="00C94DC9"/>
    <w:rsid w:val="00CA4B0F"/>
    <w:rsid w:val="00CA66C7"/>
    <w:rsid w:val="00CA7163"/>
    <w:rsid w:val="00CA7828"/>
    <w:rsid w:val="00CB0F18"/>
    <w:rsid w:val="00CB3F03"/>
    <w:rsid w:val="00CB7DC1"/>
    <w:rsid w:val="00CD2A7D"/>
    <w:rsid w:val="00CE142E"/>
    <w:rsid w:val="00CE3F9D"/>
    <w:rsid w:val="00CE4BEE"/>
    <w:rsid w:val="00CE6BB8"/>
    <w:rsid w:val="00CF0605"/>
    <w:rsid w:val="00CF0F68"/>
    <w:rsid w:val="00CF36D4"/>
    <w:rsid w:val="00CF56DC"/>
    <w:rsid w:val="00D204BF"/>
    <w:rsid w:val="00D21577"/>
    <w:rsid w:val="00D24461"/>
    <w:rsid w:val="00D270E4"/>
    <w:rsid w:val="00D33827"/>
    <w:rsid w:val="00D33CE5"/>
    <w:rsid w:val="00D3611A"/>
    <w:rsid w:val="00D409BB"/>
    <w:rsid w:val="00D417B3"/>
    <w:rsid w:val="00D44567"/>
    <w:rsid w:val="00D46813"/>
    <w:rsid w:val="00D5124F"/>
    <w:rsid w:val="00D520D0"/>
    <w:rsid w:val="00D54637"/>
    <w:rsid w:val="00D54BEA"/>
    <w:rsid w:val="00D553DB"/>
    <w:rsid w:val="00D611BE"/>
    <w:rsid w:val="00D6758C"/>
    <w:rsid w:val="00D67CD3"/>
    <w:rsid w:val="00D747BE"/>
    <w:rsid w:val="00D81857"/>
    <w:rsid w:val="00D84216"/>
    <w:rsid w:val="00D8699F"/>
    <w:rsid w:val="00D87986"/>
    <w:rsid w:val="00D92984"/>
    <w:rsid w:val="00D96F58"/>
    <w:rsid w:val="00DA1001"/>
    <w:rsid w:val="00DA13D2"/>
    <w:rsid w:val="00DB3138"/>
    <w:rsid w:val="00DB58E7"/>
    <w:rsid w:val="00DB5909"/>
    <w:rsid w:val="00DC7B2A"/>
    <w:rsid w:val="00DD2BD9"/>
    <w:rsid w:val="00DE1349"/>
    <w:rsid w:val="00DF4DAC"/>
    <w:rsid w:val="00DF6ED6"/>
    <w:rsid w:val="00E0445B"/>
    <w:rsid w:val="00E07358"/>
    <w:rsid w:val="00E07BD9"/>
    <w:rsid w:val="00E21553"/>
    <w:rsid w:val="00E27744"/>
    <w:rsid w:val="00E304C2"/>
    <w:rsid w:val="00E4470E"/>
    <w:rsid w:val="00E46ECB"/>
    <w:rsid w:val="00E46FCA"/>
    <w:rsid w:val="00E53A98"/>
    <w:rsid w:val="00E67EE2"/>
    <w:rsid w:val="00E81F04"/>
    <w:rsid w:val="00E840DF"/>
    <w:rsid w:val="00E97F4E"/>
    <w:rsid w:val="00EA01F9"/>
    <w:rsid w:val="00EB3640"/>
    <w:rsid w:val="00EB7C4B"/>
    <w:rsid w:val="00EC428E"/>
    <w:rsid w:val="00EC5200"/>
    <w:rsid w:val="00EC6924"/>
    <w:rsid w:val="00ED0BAB"/>
    <w:rsid w:val="00ED173C"/>
    <w:rsid w:val="00ED2F2E"/>
    <w:rsid w:val="00EE1120"/>
    <w:rsid w:val="00EE4C46"/>
    <w:rsid w:val="00EE682A"/>
    <w:rsid w:val="00EF12CC"/>
    <w:rsid w:val="00EF3853"/>
    <w:rsid w:val="00EF4491"/>
    <w:rsid w:val="00EF5726"/>
    <w:rsid w:val="00F02AA0"/>
    <w:rsid w:val="00F02D4A"/>
    <w:rsid w:val="00F0798B"/>
    <w:rsid w:val="00F07AAD"/>
    <w:rsid w:val="00F106A7"/>
    <w:rsid w:val="00F10760"/>
    <w:rsid w:val="00F13D92"/>
    <w:rsid w:val="00F173DE"/>
    <w:rsid w:val="00F20566"/>
    <w:rsid w:val="00F2365E"/>
    <w:rsid w:val="00F24445"/>
    <w:rsid w:val="00F24DAB"/>
    <w:rsid w:val="00F3380F"/>
    <w:rsid w:val="00F33A36"/>
    <w:rsid w:val="00F4503E"/>
    <w:rsid w:val="00F4543B"/>
    <w:rsid w:val="00F46C31"/>
    <w:rsid w:val="00F64F38"/>
    <w:rsid w:val="00F73A3F"/>
    <w:rsid w:val="00F747B7"/>
    <w:rsid w:val="00F75031"/>
    <w:rsid w:val="00F800FB"/>
    <w:rsid w:val="00F84783"/>
    <w:rsid w:val="00F9674B"/>
    <w:rsid w:val="00FA34D0"/>
    <w:rsid w:val="00FA6A1C"/>
    <w:rsid w:val="00FB324B"/>
    <w:rsid w:val="00FB4BCC"/>
    <w:rsid w:val="00FC2573"/>
    <w:rsid w:val="00FD097A"/>
    <w:rsid w:val="00FD17A1"/>
    <w:rsid w:val="00FD21E9"/>
    <w:rsid w:val="00FD5F89"/>
    <w:rsid w:val="00FE14B6"/>
    <w:rsid w:val="00FE16A0"/>
    <w:rsid w:val="00FE1D29"/>
    <w:rsid w:val="00FE277B"/>
    <w:rsid w:val="00FE5900"/>
    <w:rsid w:val="00FF3394"/>
    <w:rsid w:val="00FF3CB9"/>
    <w:rsid w:val="00FF48DC"/>
    <w:rsid w:val="00FF5B6A"/>
    <w:rsid w:val="00FF788B"/>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table" w:styleId="TableGrid">
    <w:name w:val="Table Grid"/>
    <w:basedOn w:val="TableNormal"/>
    <w:rsid w:val="00641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A0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377318473">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174</TotalTime>
  <Pages>6</Pages>
  <Words>1912</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12792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Đula Ribar</cp:lastModifiedBy>
  <cp:revision>116</cp:revision>
  <cp:lastPrinted>2012-09-26T09:25:00Z</cp:lastPrinted>
  <dcterms:created xsi:type="dcterms:W3CDTF">2025-02-03T10:07:00Z</dcterms:created>
  <dcterms:modified xsi:type="dcterms:W3CDTF">2025-04-09T08:00:00Z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